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F" w:rsidRDefault="008D499F" w:rsidP="008D499F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of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F022F3">
            <w:pPr>
              <w:jc w:val="center"/>
              <w:rPr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Building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characteristics</w:t>
            </w:r>
            <w:proofErr w:type="spellEnd"/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F022F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</w:t>
            </w:r>
            <w:r w:rsidR="00F022F3">
              <w:rPr>
                <w:lang w:val="lt-LT"/>
              </w:rPr>
              <w:t>dress</w:t>
            </w:r>
            <w:proofErr w:type="spellEnd"/>
            <w:r w:rsidR="00F022F3">
              <w:rPr>
                <w:lang w:val="lt-LT"/>
              </w:rPr>
              <w:t xml:space="preserve"> (</w:t>
            </w:r>
            <w:proofErr w:type="spellStart"/>
            <w:r w:rsidR="00F022F3"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944F66">
            <w:pPr>
              <w:rPr>
                <w:lang w:val="lt-LT"/>
              </w:rPr>
            </w:pPr>
            <w:r>
              <w:rPr>
                <w:lang w:val="lt-LT"/>
              </w:rPr>
              <w:t xml:space="preserve">Nepriklausomybės </w:t>
            </w:r>
            <w:proofErr w:type="spellStart"/>
            <w:r>
              <w:rPr>
                <w:lang w:val="lt-LT"/>
              </w:rPr>
              <w:t>Sq</w:t>
            </w:r>
            <w:proofErr w:type="spellEnd"/>
            <w:r>
              <w:rPr>
                <w:lang w:val="lt-LT"/>
              </w:rPr>
              <w:t>.</w:t>
            </w:r>
            <w:r w:rsidR="00704934" w:rsidRPr="00704934">
              <w:rPr>
                <w:lang w:val="lt-LT"/>
              </w:rPr>
              <w:t xml:space="preserve"> 10B, Rokiškis</w:t>
            </w:r>
          </w:p>
        </w:tc>
      </w:tr>
      <w:tr w:rsidR="006041FF">
        <w:tc>
          <w:tcPr>
            <w:tcW w:w="4518" w:type="dxa"/>
          </w:tcPr>
          <w:p w:rsidR="006041FF" w:rsidRDefault="00944F6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6041FF" w:rsidRDefault="00F022F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Council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Pr="006D7053" w:rsidRDefault="006041FF" w:rsidP="00F022F3">
            <w:pPr>
              <w:rPr>
                <w:color w:val="000000" w:themeColor="text1"/>
                <w:lang w:val="lt-LT"/>
              </w:rPr>
            </w:pPr>
            <w:proofErr w:type="spellStart"/>
            <w:r w:rsidRPr="006D7053">
              <w:rPr>
                <w:color w:val="000000" w:themeColor="text1"/>
                <w:lang w:val="lt-LT"/>
              </w:rPr>
              <w:t>Deta</w:t>
            </w:r>
            <w:r w:rsidR="00F022F3">
              <w:rPr>
                <w:color w:val="000000" w:themeColor="text1"/>
                <w:lang w:val="lt-LT"/>
              </w:rPr>
              <w:t>iled</w:t>
            </w:r>
            <w:proofErr w:type="spellEnd"/>
            <w:r w:rsid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F022F3">
              <w:rPr>
                <w:color w:val="000000" w:themeColor="text1"/>
                <w:lang w:val="lt-LT"/>
              </w:rPr>
              <w:t>plan</w:t>
            </w:r>
            <w:proofErr w:type="spellEnd"/>
            <w:r w:rsidR="00A92FCC">
              <w:rPr>
                <w:color w:val="000000" w:themeColor="text1"/>
                <w:lang w:val="lt-LT"/>
              </w:rPr>
              <w:t xml:space="preserve"> (</w:t>
            </w:r>
            <w:proofErr w:type="spellStart"/>
            <w:r w:rsidR="00A92FCC">
              <w:rPr>
                <w:color w:val="000000" w:themeColor="text1"/>
                <w:lang w:val="lt-LT"/>
              </w:rPr>
              <w:t>Yes</w:t>
            </w:r>
            <w:proofErr w:type="spellEnd"/>
            <w:r w:rsidR="00A92FCC">
              <w:rPr>
                <w:color w:val="000000" w:themeColor="text1"/>
                <w:lang w:val="lt-LT"/>
              </w:rPr>
              <w:t>/</w:t>
            </w:r>
            <w:proofErr w:type="spellStart"/>
            <w:r w:rsidR="00A92FCC">
              <w:rPr>
                <w:color w:val="000000" w:themeColor="text1"/>
                <w:lang w:val="lt-LT"/>
              </w:rPr>
              <w:t>No</w:t>
            </w:r>
            <w:proofErr w:type="spellEnd"/>
            <w:r w:rsidRPr="006D7053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Pr="006D7053" w:rsidRDefault="00F022F3">
            <w:pPr>
              <w:rPr>
                <w:color w:val="000000" w:themeColor="text1"/>
                <w:highlight w:val="yellow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Yes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Pr="006D7053" w:rsidRDefault="00B90BBA" w:rsidP="00944F6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 w:rsidR="00F022F3" w:rsidRP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F022F3" w:rsidRPr="00F022F3"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usage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purpose</w:t>
            </w:r>
            <w:proofErr w:type="spellEnd"/>
            <w:r w:rsidR="00F022F3" w:rsidRPr="00F022F3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Pr="006D7053" w:rsidRDefault="00B90BBA" w:rsidP="00704934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Building-garage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Pr="00F022F3" w:rsidRDefault="00F022F3" w:rsidP="00944F66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Purpose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944F66">
              <w:rPr>
                <w:lang w:val="lt-LT"/>
              </w:rPr>
              <w:t>usage</w:t>
            </w:r>
            <w:proofErr w:type="spellEnd"/>
            <w:r w:rsidR="00944F66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according</w:t>
            </w:r>
            <w:proofErr w:type="spellEnd"/>
            <w:r w:rsidRPr="00F022F3">
              <w:rPr>
                <w:lang w:val="lt-LT"/>
              </w:rPr>
              <w:t xml:space="preserve"> to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planning</w:t>
            </w:r>
            <w:proofErr w:type="spellEnd"/>
            <w:r w:rsidRPr="00F022F3"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Pr="006D7053" w:rsidRDefault="00F022F3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Garages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Pr="006D7053" w:rsidRDefault="00B90BBA" w:rsidP="00704934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Pr="006D7053" w:rsidRDefault="00704934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265,68</w:t>
            </w:r>
          </w:p>
        </w:tc>
      </w:tr>
      <w:tr w:rsidR="006041FF">
        <w:tc>
          <w:tcPr>
            <w:tcW w:w="4518" w:type="dxa"/>
          </w:tcPr>
          <w:p w:rsidR="00B90BBA" w:rsidRDefault="00B90BBA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state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of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(</w:t>
            </w:r>
            <w:proofErr w:type="spellStart"/>
            <w:r>
              <w:rPr>
                <w:color w:val="000000" w:themeColor="text1"/>
                <w:lang w:val="lt-LT"/>
              </w:rPr>
              <w:t>construction</w:t>
            </w:r>
            <w:proofErr w:type="spellEnd"/>
            <w:r>
              <w:rPr>
                <w:color w:val="000000" w:themeColor="text1"/>
                <w:lang w:val="lt-LT"/>
              </w:rPr>
              <w:t>)</w:t>
            </w:r>
          </w:p>
          <w:p w:rsidR="00B90BBA" w:rsidRPr="006D7053" w:rsidRDefault="006035A3" w:rsidP="00B90BB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proofErr w:type="spellStart"/>
            <w:r>
              <w:rPr>
                <w:color w:val="000000" w:themeColor="text1"/>
                <w:lang w:val="lt-LT"/>
              </w:rPr>
              <w:t>good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satisfactory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B90BBA" w:rsidRDefault="00944F6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the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roof</w:t>
            </w:r>
            <w:proofErr w:type="spellEnd"/>
            <w:r w:rsid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>
              <w:rPr>
                <w:color w:val="000000" w:themeColor="text1"/>
                <w:lang w:val="lt-LT"/>
              </w:rPr>
              <w:t>has</w:t>
            </w:r>
            <w:proofErr w:type="spellEnd"/>
            <w:r w:rsidR="00B90BBA">
              <w:rPr>
                <w:color w:val="000000" w:themeColor="text1"/>
                <w:lang w:val="lt-LT"/>
              </w:rPr>
              <w:t xml:space="preserve"> to be </w:t>
            </w:r>
            <w:proofErr w:type="spellStart"/>
            <w:r w:rsidR="00B90BBA">
              <w:rPr>
                <w:color w:val="000000" w:themeColor="text1"/>
                <w:lang w:val="lt-LT"/>
              </w:rPr>
              <w:t>changed</w:t>
            </w:r>
            <w:proofErr w:type="spellEnd"/>
          </w:p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</w:p>
        </w:tc>
      </w:tr>
      <w:tr w:rsidR="006041FF" w:rsidRPr="00623DAF">
        <w:tc>
          <w:tcPr>
            <w:tcW w:w="4518" w:type="dxa"/>
          </w:tcPr>
          <w:p w:rsidR="00B90BBA" w:rsidRDefault="00B90BBA" w:rsidP="00B90BBA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B90BBA" w:rsidRDefault="00B90BBA">
            <w:pPr>
              <w:rPr>
                <w:color w:val="000000" w:themeColor="text1"/>
                <w:lang w:val="lt-LT"/>
              </w:rPr>
            </w:pPr>
          </w:p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518" w:type="dxa"/>
          </w:tcPr>
          <w:p w:rsidR="006041FF" w:rsidRPr="00A92FCC" w:rsidRDefault="00574E28" w:rsidP="008A63C7">
            <w:pPr>
              <w:jc w:val="both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territory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is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located</w:t>
            </w:r>
            <w:proofErr w:type="spellEnd"/>
            <w:r w:rsidR="00944F6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944F66">
              <w:rPr>
                <w:color w:val="000000" w:themeColor="text1"/>
                <w:lang w:val="lt-LT"/>
              </w:rPr>
              <w:t>in</w:t>
            </w:r>
            <w:proofErr w:type="spellEnd"/>
            <w:r w:rsidR="00944F66">
              <w:rPr>
                <w:color w:val="000000" w:themeColor="text1"/>
                <w:lang w:val="lt-LT"/>
              </w:rPr>
              <w:t xml:space="preserve"> Rokiškis, Nepriklausomybės </w:t>
            </w:r>
            <w:proofErr w:type="spellStart"/>
            <w:r w:rsidR="00944F66">
              <w:rPr>
                <w:color w:val="000000" w:themeColor="text1"/>
                <w:lang w:val="lt-LT"/>
              </w:rPr>
              <w:t>S</w:t>
            </w:r>
            <w:r w:rsidR="003133C6">
              <w:rPr>
                <w:color w:val="000000" w:themeColor="text1"/>
                <w:lang w:val="lt-LT"/>
              </w:rPr>
              <w:t>q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. </w:t>
            </w:r>
            <w:r>
              <w:rPr>
                <w:color w:val="000000" w:themeColor="text1"/>
                <w:lang w:val="lt-LT"/>
              </w:rPr>
              <w:t>It</w:t>
            </w:r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belongs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to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the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territory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of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the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historical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part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of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Rokiškis </w:t>
            </w:r>
            <w:proofErr w:type="spellStart"/>
            <w:r w:rsidR="003133C6">
              <w:rPr>
                <w:color w:val="000000" w:themeColor="text1"/>
                <w:lang w:val="lt-LT"/>
              </w:rPr>
              <w:t>town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(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un</w:t>
            </w:r>
            <w:r w:rsidR="003133C6">
              <w:rPr>
                <w:color w:val="000000" w:themeColor="text1"/>
                <w:lang w:val="lt-LT"/>
              </w:rPr>
              <w:t>ique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code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17102), </w:t>
            </w:r>
            <w:proofErr w:type="spellStart"/>
            <w:r w:rsidR="003133C6">
              <w:rPr>
                <w:color w:val="000000" w:themeColor="text1"/>
                <w:lang w:val="lt-LT"/>
              </w:rPr>
              <w:t>which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is</w:t>
            </w:r>
            <w:proofErr w:type="spellEnd"/>
            <w:r w:rsidR="003133C6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record</w:t>
            </w:r>
            <w:r w:rsidR="00B90BBA" w:rsidRPr="00B90BBA">
              <w:rPr>
                <w:color w:val="000000" w:themeColor="text1"/>
                <w:lang w:val="lt-LT"/>
              </w:rPr>
              <w:t>ed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in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the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register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of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cultural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values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.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The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3133C6">
              <w:rPr>
                <w:color w:val="000000" w:themeColor="text1"/>
                <w:lang w:val="lt-LT"/>
              </w:rPr>
              <w:t>neighbouring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territory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is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built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on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state-protected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cultural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heritage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objects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public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buildings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and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buildings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of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transport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B90BBA" w:rsidRPr="00B90BBA">
              <w:rPr>
                <w:color w:val="000000" w:themeColor="text1"/>
                <w:lang w:val="lt-LT"/>
              </w:rPr>
              <w:t>service</w:t>
            </w:r>
            <w:proofErr w:type="spellEnd"/>
            <w:r w:rsidR="00B90BBA" w:rsidRPr="00B90BBA">
              <w:rPr>
                <w:color w:val="000000" w:themeColor="text1"/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6041FF" w:rsidRDefault="00574E2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</w:p>
        </w:tc>
        <w:tc>
          <w:tcPr>
            <w:tcW w:w="4518" w:type="dxa"/>
          </w:tcPr>
          <w:p w:rsidR="006041FF" w:rsidRDefault="00574E28">
            <w:pPr>
              <w:rPr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Yes</w:t>
            </w:r>
            <w:proofErr w:type="spellEnd"/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574E28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574E28" w:rsidRDefault="00574E28" w:rsidP="00574E28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574E28" w:rsidRDefault="00574E28" w:rsidP="00574E2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3F7E21" w:rsidP="003F7E21">
            <w:pPr>
              <w:rPr>
                <w:lang w:val="lt-LT"/>
              </w:rPr>
            </w:pPr>
            <w:r>
              <w:rPr>
                <w:lang w:val="lt-LT"/>
              </w:rPr>
              <w:t xml:space="preserve">Nepriklausomybės </w:t>
            </w:r>
            <w:proofErr w:type="spellStart"/>
            <w:r>
              <w:rPr>
                <w:lang w:val="lt-LT"/>
              </w:rPr>
              <w:t>Square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nearby</w:t>
            </w:r>
            <w:proofErr w:type="spellEnd"/>
            <w:r w:rsidR="00574E28" w:rsidRPr="00574E28"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communication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good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3F7E21" w:rsidRDefault="003F7E21" w:rsidP="003F7E21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3F7E21" w:rsidRDefault="003F7E21" w:rsidP="003F7E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3F7E21" w:rsidRDefault="003F7E21" w:rsidP="003F7E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Domestic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rainwater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F004A7">
              <w:rPr>
                <w:lang w:val="lt-LT"/>
              </w:rPr>
              <w:t>sewage</w:t>
            </w:r>
            <w:proofErr w:type="spellEnd"/>
          </w:p>
          <w:p w:rsidR="003F7E21" w:rsidRDefault="003F7E21" w:rsidP="003F7E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3F7E21" w:rsidRDefault="003F7E21" w:rsidP="003F7E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3F7E21" w:rsidRDefault="003F7E21" w:rsidP="003F7E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3F7E21" w:rsidRDefault="003F7E21">
            <w:pPr>
              <w:rPr>
                <w:b/>
                <w:bCs/>
                <w:lang w:val="lt-LT"/>
              </w:rPr>
            </w:pPr>
          </w:p>
          <w:p w:rsidR="003F7E21" w:rsidRDefault="003F7E21">
            <w:pPr>
              <w:rPr>
                <w:b/>
                <w:bCs/>
                <w:lang w:val="lt-LT"/>
              </w:rPr>
            </w:pPr>
          </w:p>
          <w:p w:rsidR="006041FF" w:rsidRDefault="006041FF" w:rsidP="00F004A7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185ECF" w:rsidRDefault="00185ECF" w:rsidP="00477616">
            <w:pPr>
              <w:rPr>
                <w:lang w:val="lt-LT"/>
              </w:rPr>
            </w:pPr>
          </w:p>
          <w:p w:rsidR="00185ECF" w:rsidRPr="00C638CD" w:rsidRDefault="00F004A7" w:rsidP="0047761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No</w:t>
            </w:r>
            <w:proofErr w:type="spellEnd"/>
          </w:p>
          <w:p w:rsidR="00C638CD" w:rsidRPr="00C638CD" w:rsidRDefault="00F004A7" w:rsidP="0047761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No</w:t>
            </w:r>
            <w:proofErr w:type="spellEnd"/>
          </w:p>
          <w:p w:rsidR="00185ECF" w:rsidRPr="00C638CD" w:rsidRDefault="00F004A7" w:rsidP="0047761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Yes</w:t>
            </w:r>
            <w:proofErr w:type="spellEnd"/>
          </w:p>
          <w:p w:rsidR="00185ECF" w:rsidRPr="00C638CD" w:rsidRDefault="00F004A7" w:rsidP="0047761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No</w:t>
            </w:r>
            <w:proofErr w:type="spellEnd"/>
          </w:p>
          <w:p w:rsidR="00185ECF" w:rsidRDefault="00185ECF" w:rsidP="00477616">
            <w:pPr>
              <w:rPr>
                <w:lang w:val="lt-LT"/>
              </w:rPr>
            </w:pPr>
            <w:proofErr w:type="spellStart"/>
            <w:r w:rsidRPr="00C638CD">
              <w:rPr>
                <w:color w:val="000000" w:themeColor="text1"/>
                <w:lang w:val="lt-LT"/>
              </w:rPr>
              <w:t>N</w:t>
            </w:r>
            <w:r w:rsidR="00F004A7">
              <w:rPr>
                <w:color w:val="000000" w:themeColor="text1"/>
                <w:lang w:val="lt-LT"/>
              </w:rPr>
              <w:t>o</w:t>
            </w:r>
            <w:proofErr w:type="spellEnd"/>
          </w:p>
        </w:tc>
      </w:tr>
    </w:tbl>
    <w:p w:rsidR="00EC4724" w:rsidRPr="00704934" w:rsidRDefault="00F004A7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F004A7">
        <w:rPr>
          <w:b w:val="0"/>
        </w:rPr>
        <w:t>Contact</w:t>
      </w:r>
      <w:proofErr w:type="spellEnd"/>
      <w:r w:rsidRPr="00F004A7">
        <w:rPr>
          <w:b w:val="0"/>
        </w:rPr>
        <w:t xml:space="preserve"> </w:t>
      </w:r>
      <w:proofErr w:type="spellStart"/>
      <w:r w:rsidRPr="00F004A7">
        <w:rPr>
          <w:b w:val="0"/>
        </w:rPr>
        <w:t>person</w:t>
      </w:r>
      <w:proofErr w:type="spellEnd"/>
      <w:r w:rsidR="00A61C40" w:rsidRPr="00F004A7">
        <w:rPr>
          <w:b w:val="0"/>
        </w:rPr>
        <w:t>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C638CD">
        <w:rPr>
          <w:rFonts w:ascii="Arial" w:hAnsi="Arial" w:cs="Arial"/>
          <w:color w:val="000000"/>
          <w:sz w:val="27"/>
          <w:szCs w:val="27"/>
        </w:rPr>
        <w:t xml:space="preserve">Rita </w:t>
      </w:r>
      <w:proofErr w:type="spellStart"/>
      <w:r w:rsidR="00C638CD">
        <w:rPr>
          <w:rFonts w:ascii="Arial" w:hAnsi="Arial" w:cs="Arial"/>
          <w:color w:val="000000"/>
          <w:sz w:val="27"/>
          <w:szCs w:val="27"/>
        </w:rPr>
        <w:t>Danienė</w:t>
      </w:r>
      <w:proofErr w:type="spellEnd"/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C638CD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</w:t>
        </w:r>
      </w:hyperlink>
      <w:r w:rsidR="00C638CD">
        <w:rPr>
          <w:rStyle w:val="Hipersaitas"/>
          <w:rFonts w:ascii="Arial" w:hAnsi="Arial" w:cs="Arial"/>
          <w:sz w:val="23"/>
          <w:szCs w:val="23"/>
          <w:shd w:val="clear" w:color="auto" w:fill="FFFFFF"/>
        </w:rPr>
        <w:t> 458) 52754</w:t>
      </w:r>
      <w:r w:rsidR="00704934">
        <w:rPr>
          <w:rFonts w:ascii="Arial" w:hAnsi="Arial" w:cs="Arial"/>
          <w:color w:val="686868"/>
        </w:rPr>
        <w:t xml:space="preserve"> </w:t>
      </w:r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C638CD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8</w:t>
        </w:r>
      </w:hyperlink>
      <w:r w:rsidR="00C638CD">
        <w:rPr>
          <w:rStyle w:val="Hipersaitas"/>
          <w:rFonts w:ascii="Arial" w:hAnsi="Arial" w:cs="Arial"/>
          <w:sz w:val="23"/>
          <w:szCs w:val="23"/>
          <w:shd w:val="clear" w:color="auto" w:fill="FFFFFF"/>
        </w:rPr>
        <w:t> 656 62984</w:t>
      </w:r>
    </w:p>
    <w:p w:rsidR="00544B68" w:rsidRDefault="00F004A7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</w:t>
      </w:r>
      <w:r w:rsidR="00013CA5">
        <w:rPr>
          <w:rFonts w:ascii="Arial" w:hAnsi="Arial" w:cs="Arial"/>
          <w:color w:val="000000"/>
        </w:rPr>
        <w:t xml:space="preserve"> </w:t>
      </w:r>
      <w:hyperlink r:id="rId7" w:history="1">
        <w:r w:rsidR="00C638CD" w:rsidRPr="00A805AC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r.daniene@post.rokiskis.lt</w:t>
        </w:r>
      </w:hyperlink>
      <w:r w:rsidR="00C638C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6041FF" w:rsidRDefault="006041FF">
      <w:pPr>
        <w:rPr>
          <w:lang w:val="lt-LT"/>
        </w:rPr>
      </w:pPr>
    </w:p>
    <w:p w:rsidR="00F004A7" w:rsidRDefault="00F004A7" w:rsidP="00A47C46">
      <w:pPr>
        <w:rPr>
          <w:lang w:val="lt-LT"/>
        </w:rPr>
      </w:pPr>
    </w:p>
    <w:p w:rsidR="008937EC" w:rsidRDefault="008937EC" w:rsidP="00A47C46">
      <w:pPr>
        <w:rPr>
          <w:lang w:val="lt-LT"/>
        </w:rPr>
      </w:pPr>
    </w:p>
    <w:p w:rsidR="008937EC" w:rsidRDefault="008937EC" w:rsidP="00A47C46">
      <w:pPr>
        <w:rPr>
          <w:lang w:val="lt-LT"/>
        </w:rPr>
      </w:pPr>
    </w:p>
    <w:p w:rsidR="008937EC" w:rsidRDefault="008937EC" w:rsidP="00A47C46">
      <w:pPr>
        <w:rPr>
          <w:lang w:val="lt-LT"/>
        </w:rPr>
      </w:pPr>
    </w:p>
    <w:p w:rsidR="008937EC" w:rsidRDefault="008937EC" w:rsidP="00A47C46">
      <w:pPr>
        <w:rPr>
          <w:lang w:val="lt-LT"/>
        </w:rPr>
      </w:pPr>
    </w:p>
    <w:p w:rsidR="00D7462A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proofErr w:type="spellStart"/>
      <w:r>
        <w:rPr>
          <w:lang w:val="lt-LT"/>
        </w:rPr>
        <w:lastRenderedPageBreak/>
        <w:t>Photo</w:t>
      </w:r>
      <w:proofErr w:type="spellEnd"/>
      <w:r w:rsidR="00D7462A">
        <w:rPr>
          <w:lang w:val="lt-LT"/>
        </w:rPr>
        <w:t>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04A7" w:rsidRDefault="00F004A7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638CD" w:rsidRDefault="00C638CD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>
            <wp:extent cx="5600700" cy="4205068"/>
            <wp:effectExtent l="0" t="0" r="0" b="5080"/>
            <wp:docPr id="1" name="Paveikslėlis 1" descr="C:\Users\AGRIZEVICIUTE\AppData\Local\Microsoft\Windows\INetCache\Content.Outlook\2KJRWA7R\IMG_20210401_08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ZEVICIUTE\AppData\Local\Microsoft\Windows\INetCache\Content.Outlook\2KJRWA7R\IMG_20210401_083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CD" w:rsidRDefault="00C638CD" w:rsidP="00A47C46">
      <w:pPr>
        <w:rPr>
          <w:lang w:val="lt-LT"/>
        </w:rPr>
      </w:pPr>
    </w:p>
    <w:sectPr w:rsidR="00C638CD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24912"/>
    <w:rsid w:val="00056B15"/>
    <w:rsid w:val="00095360"/>
    <w:rsid w:val="00162549"/>
    <w:rsid w:val="00177AB5"/>
    <w:rsid w:val="00185ECF"/>
    <w:rsid w:val="00284F6F"/>
    <w:rsid w:val="00285A9F"/>
    <w:rsid w:val="00294BE1"/>
    <w:rsid w:val="002A7171"/>
    <w:rsid w:val="003133C6"/>
    <w:rsid w:val="00323E40"/>
    <w:rsid w:val="003A235A"/>
    <w:rsid w:val="003D37E7"/>
    <w:rsid w:val="003F7E21"/>
    <w:rsid w:val="00456A6B"/>
    <w:rsid w:val="00466E37"/>
    <w:rsid w:val="00477616"/>
    <w:rsid w:val="004864E6"/>
    <w:rsid w:val="00544B68"/>
    <w:rsid w:val="00574E28"/>
    <w:rsid w:val="005A66BF"/>
    <w:rsid w:val="005F1988"/>
    <w:rsid w:val="006035A3"/>
    <w:rsid w:val="006041FF"/>
    <w:rsid w:val="00623DAF"/>
    <w:rsid w:val="00696AC4"/>
    <w:rsid w:val="006C6C63"/>
    <w:rsid w:val="006D7053"/>
    <w:rsid w:val="00704934"/>
    <w:rsid w:val="007144F1"/>
    <w:rsid w:val="008320B2"/>
    <w:rsid w:val="00876A7B"/>
    <w:rsid w:val="008937EC"/>
    <w:rsid w:val="008A18A8"/>
    <w:rsid w:val="008A3C40"/>
    <w:rsid w:val="008A63C7"/>
    <w:rsid w:val="008D499F"/>
    <w:rsid w:val="0090048B"/>
    <w:rsid w:val="00936954"/>
    <w:rsid w:val="00944F66"/>
    <w:rsid w:val="00962636"/>
    <w:rsid w:val="009D5C9C"/>
    <w:rsid w:val="00A02688"/>
    <w:rsid w:val="00A07E0C"/>
    <w:rsid w:val="00A23C86"/>
    <w:rsid w:val="00A47C46"/>
    <w:rsid w:val="00A61C40"/>
    <w:rsid w:val="00A92FCC"/>
    <w:rsid w:val="00B2650B"/>
    <w:rsid w:val="00B90BBA"/>
    <w:rsid w:val="00C43E7C"/>
    <w:rsid w:val="00C638CD"/>
    <w:rsid w:val="00C912C7"/>
    <w:rsid w:val="00D53F17"/>
    <w:rsid w:val="00D5607F"/>
    <w:rsid w:val="00D7462A"/>
    <w:rsid w:val="00E943C9"/>
    <w:rsid w:val="00EA4AE6"/>
    <w:rsid w:val="00EC4724"/>
    <w:rsid w:val="00EE4058"/>
    <w:rsid w:val="00F004A7"/>
    <w:rsid w:val="00F022F3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F7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04934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0249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249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2491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249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24912"/>
    <w:rPr>
      <w:b/>
      <w:bCs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3F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F7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04934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0249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249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2491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249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24912"/>
    <w:rPr>
      <w:b/>
      <w:bCs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3F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3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3932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.da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-696-53055" TargetMode="External"/><Relationship Id="rId5" Type="http://schemas.openxmlformats.org/officeDocument/2006/relationships/hyperlink" Target="tel:(8%20458)%2051%209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UserRS</cp:lastModifiedBy>
  <cp:revision>6</cp:revision>
  <dcterms:created xsi:type="dcterms:W3CDTF">2021-07-29T06:20:00Z</dcterms:created>
  <dcterms:modified xsi:type="dcterms:W3CDTF">2021-07-30T06:56:00Z</dcterms:modified>
</cp:coreProperties>
</file>