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:rsidR="00415931" w:rsidRDefault="00415931" w:rsidP="00415931">
      <w:pPr>
        <w:jc w:val="center"/>
        <w:rPr>
          <w:b/>
          <w:szCs w:val="24"/>
        </w:rPr>
      </w:pPr>
    </w:p>
    <w:p w:rsidR="00CD1F94" w:rsidRDefault="00415931" w:rsidP="002103F6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274B3B" w:rsidRPr="00874C8F">
        <w:rPr>
          <w:rFonts w:eastAsia="Times New Roman"/>
          <w:b/>
          <w:szCs w:val="24"/>
          <w:lang w:eastAsia="lt-LT"/>
        </w:rPr>
        <w:t>DĖL VIENKARTINĖS PINIGINĖS PARAMOS SKYRIMO TVARKOS APRAŠO PATVIRTININMO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:rsidR="00415931" w:rsidRDefault="00415931" w:rsidP="00DC1445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:rsidR="00415931" w:rsidRPr="009A585C" w:rsidRDefault="00274B3B" w:rsidP="00DC1445">
      <w:pPr>
        <w:jc w:val="center"/>
        <w:rPr>
          <w:szCs w:val="24"/>
          <w:u w:val="single"/>
        </w:rPr>
      </w:pPr>
      <w:r>
        <w:rPr>
          <w:b/>
          <w:szCs w:val="24"/>
        </w:rPr>
        <w:t>ZITA ČAPLIKIENĖ</w:t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DC1445" w:rsidTr="00415931">
        <w:trPr>
          <w:trHeight w:val="23"/>
          <w:tblHeader/>
        </w:trPr>
        <w:tc>
          <w:tcPr>
            <w:tcW w:w="565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Eil. Nr.</w:t>
            </w:r>
          </w:p>
        </w:tc>
        <w:tc>
          <w:tcPr>
            <w:tcW w:w="502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Kriterijus</w:t>
            </w: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sz w:val="20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Išvada dėl teisės akto projekto pakeitimų arba argumentų, kodėl neatsižvelgta į pastabą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rPr>
                <w:i/>
                <w:sz w:val="20"/>
              </w:rPr>
            </w:pP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:rsidR="00415931" w:rsidRPr="00DC1445" w:rsidRDefault="00315F0A" w:rsidP="00274B3B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Teisės akte nustatytos vienodos sąlygos visiems </w:t>
            </w:r>
            <w:r w:rsidR="00274B3B" w:rsidRPr="00DC1445">
              <w:rPr>
                <w:sz w:val="20"/>
              </w:rPr>
              <w:t>prašymus</w:t>
            </w:r>
            <w:r w:rsidRPr="00DC1445">
              <w:rPr>
                <w:sz w:val="20"/>
              </w:rPr>
              <w:t xml:space="preserve"> teikiantie</w:t>
            </w:r>
            <w:r w:rsidR="00274B3B" w:rsidRPr="00DC1445">
              <w:rPr>
                <w:sz w:val="20"/>
              </w:rPr>
              <w:t>m</w:t>
            </w:r>
            <w:r w:rsidRPr="00DC1445">
              <w:rPr>
                <w:sz w:val="20"/>
              </w:rPr>
              <w:t>s subjektams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1" w:name="Check2"/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91DC7">
              <w:rPr>
                <w:sz w:val="20"/>
              </w:rPr>
            </w:r>
            <w:r w:rsidR="00B91DC7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1"/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2" w:name="Check1"/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91DC7">
              <w:rPr>
                <w:sz w:val="20"/>
              </w:rPr>
            </w:r>
            <w:r w:rsidR="00B91DC7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2"/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:rsidR="00415931" w:rsidRPr="00DC1445" w:rsidRDefault="00611BF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Nėra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91DC7">
              <w:rPr>
                <w:sz w:val="20"/>
              </w:rPr>
            </w:r>
            <w:r w:rsidR="00B91DC7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91DC7">
              <w:rPr>
                <w:sz w:val="20"/>
              </w:rPr>
            </w:r>
            <w:r w:rsidR="00B91DC7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:rsidR="00415931" w:rsidRPr="00DC1445" w:rsidRDefault="00274B3B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Savivaldybės administracijos direktorius, atsižvelgdamas į Vienkartinės piniginės paramos komisijos protokolinį nutarimą, įsakymu skiria paramą, sprendimų teisėtumą kontroliuoja Centralizuota vidaus audito tarnyba</w:t>
            </w: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91DC7">
              <w:rPr>
                <w:sz w:val="20"/>
              </w:rPr>
            </w:r>
            <w:r w:rsidR="00B91DC7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91DC7">
              <w:rPr>
                <w:sz w:val="20"/>
              </w:rPr>
            </w:r>
            <w:r w:rsidR="00B91DC7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:rsidR="00415931" w:rsidRPr="00DC1445" w:rsidRDefault="00280A64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Atitinka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91DC7">
              <w:rPr>
                <w:sz w:val="20"/>
              </w:rPr>
            </w:r>
            <w:r w:rsidR="00B91DC7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91DC7">
              <w:rPr>
                <w:sz w:val="20"/>
              </w:rPr>
            </w:r>
            <w:r w:rsidR="00B91DC7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:rsidR="00415931" w:rsidRPr="00DC1445" w:rsidRDefault="00274B3B" w:rsidP="00274B3B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Nustatytas 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91DC7">
              <w:rPr>
                <w:sz w:val="20"/>
              </w:rPr>
            </w:r>
            <w:r w:rsidR="00B91DC7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91DC7">
              <w:rPr>
                <w:sz w:val="20"/>
              </w:rPr>
            </w:r>
            <w:r w:rsidR="00B91DC7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:rsidR="00415931" w:rsidRPr="00DC1445" w:rsidRDefault="00274B3B" w:rsidP="00C25255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Išimtys nenustatytos</w:t>
            </w:r>
            <w:r w:rsidR="00C25255" w:rsidRPr="00DC1445">
              <w:rPr>
                <w:sz w:val="20"/>
              </w:rPr>
              <w:t xml:space="preserve"> </w:t>
            </w:r>
            <w:r w:rsidR="000805B9"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 w:rsidRPr="00DC1445">
              <w:rPr>
                <w:sz w:val="20"/>
              </w:rPr>
              <w:instrText xml:space="preserve"> FORMCHECKBOX </w:instrText>
            </w:r>
            <w:r w:rsidR="00B91DC7">
              <w:rPr>
                <w:sz w:val="20"/>
              </w:rPr>
            </w:r>
            <w:r w:rsidR="00B91DC7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91DC7">
              <w:rPr>
                <w:sz w:val="20"/>
              </w:rPr>
            </w:r>
            <w:r w:rsidR="00B91DC7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:rsidR="00415931" w:rsidRPr="00DC1445" w:rsidRDefault="00C81773" w:rsidP="00C25255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Sprendimų </w:t>
            </w:r>
            <w:r w:rsidR="00FA159F" w:rsidRPr="00DC1445">
              <w:rPr>
                <w:sz w:val="20"/>
              </w:rPr>
              <w:t xml:space="preserve">viešinimo </w:t>
            </w:r>
            <w:r w:rsidRPr="00DC1445">
              <w:rPr>
                <w:sz w:val="20"/>
              </w:rPr>
              <w:t xml:space="preserve">tvarka </w:t>
            </w:r>
            <w:r w:rsidR="00C25255" w:rsidRPr="00DC1445">
              <w:rPr>
                <w:sz w:val="20"/>
              </w:rPr>
              <w:t>nenustatyta</w:t>
            </w:r>
            <w:r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2C1319" w:rsidP="00415931">
            <w:pPr>
              <w:ind w:firstLine="0"/>
              <w:rPr>
                <w:sz w:val="20"/>
              </w:rPr>
            </w:pPr>
            <w:r w:rsidRPr="00DC1445">
              <w:rPr>
                <w:noProof/>
                <w:sz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346F0B" wp14:editId="6C94D94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C81773" w:rsidRPr="00DC1445">
              <w:rPr>
                <w:sz w:val="20"/>
              </w:rPr>
              <w:t xml:space="preserve">       </w:t>
            </w:r>
            <w:r w:rsidRPr="00DC1445">
              <w:rPr>
                <w:sz w:val="20"/>
              </w:rPr>
              <w:t>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91DC7">
              <w:rPr>
                <w:sz w:val="20"/>
              </w:rPr>
            </w:r>
            <w:r w:rsidR="00B91DC7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Tokia tvarka nenustatyta</w:t>
            </w:r>
          </w:p>
        </w:tc>
        <w:tc>
          <w:tcPr>
            <w:tcW w:w="3553" w:type="dxa"/>
          </w:tcPr>
          <w:p w:rsidR="00415931" w:rsidRPr="00DC1445" w:rsidRDefault="00EE0149" w:rsidP="00EE0149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91DC7">
              <w:rPr>
                <w:sz w:val="20"/>
              </w:rPr>
            </w:r>
            <w:r w:rsidR="00B91DC7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91DC7">
              <w:rPr>
                <w:sz w:val="20"/>
              </w:rPr>
            </w:r>
            <w:r w:rsidR="00B91DC7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Jeigu pagal numatomą reguliavimą sprendimus priima kolegialus subjektas, teisės akto projekte nustatyta kolegialaus sprendimus priimančio subjekto: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9.1. konkretus narių skaičius, užtikrinantis kolegialaus sprendimus priimančio subjekto veiklos objektyvumą;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9.3</w:t>
            </w:r>
            <w:r w:rsidRPr="00DC1445">
              <w:rPr>
                <w:spacing w:val="-4"/>
                <w:sz w:val="20"/>
              </w:rPr>
              <w:t>. narių skyrimo mechanizmas;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9.4. narių rotacija ir kadencijų skaičius ir trukmė;</w:t>
            </w:r>
          </w:p>
          <w:p w:rsidR="00415931" w:rsidRPr="00DC1445" w:rsidRDefault="00415931" w:rsidP="00415931">
            <w:pPr>
              <w:ind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9.5. veiklos pobūdis laiko atžvilgiu;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9.6. individuali narių atsakomybė</w:t>
            </w:r>
          </w:p>
        </w:tc>
        <w:tc>
          <w:tcPr>
            <w:tcW w:w="3770" w:type="dxa"/>
          </w:tcPr>
          <w:p w:rsidR="00C81773" w:rsidRPr="00DC1445" w:rsidRDefault="00DC1445" w:rsidP="00DC1445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P</w:t>
            </w:r>
            <w:r w:rsidR="00F35BD6" w:rsidRPr="00DC1445">
              <w:rPr>
                <w:sz w:val="20"/>
              </w:rPr>
              <w:t xml:space="preserve">rojekte </w:t>
            </w:r>
            <w:r w:rsidR="00C25255" w:rsidRPr="00DC1445">
              <w:rPr>
                <w:sz w:val="20"/>
              </w:rPr>
              <w:t xml:space="preserve">nustatyta, kad </w:t>
            </w:r>
            <w:r w:rsidRPr="00DC1445">
              <w:rPr>
                <w:sz w:val="20"/>
              </w:rPr>
              <w:t xml:space="preserve"> </w:t>
            </w:r>
            <w:r w:rsidR="00C25255" w:rsidRPr="00DC1445">
              <w:rPr>
                <w:sz w:val="20"/>
              </w:rPr>
              <w:t xml:space="preserve">sprendimus priima savivaldybės </w:t>
            </w:r>
            <w:r w:rsidRPr="00DC1445">
              <w:rPr>
                <w:sz w:val="20"/>
              </w:rPr>
              <w:t>administracijos direktorius, atsižvelgdamas į Vienkartinės piniginės paramos komisijos protokolinį nutarimą</w:t>
            </w: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5018B3" w:rsidP="005018B3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91DC7">
              <w:rPr>
                <w:sz w:val="20"/>
              </w:rPr>
            </w:r>
            <w:r w:rsidR="00B91DC7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91DC7">
              <w:rPr>
                <w:sz w:val="20"/>
              </w:rPr>
            </w:r>
            <w:r w:rsidR="00B91DC7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10.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 xml:space="preserve">Teisės akto projekto nuostatoms įgyvendinti numatytos administracinės procedūros yra </w:t>
            </w:r>
            <w:r w:rsidRPr="00DC1445">
              <w:rPr>
                <w:sz w:val="20"/>
                <w:shd w:val="clear" w:color="auto" w:fill="FFFFFF"/>
              </w:rPr>
              <w:t>būtinos,</w:t>
            </w:r>
            <w:r w:rsidRPr="00DC1445">
              <w:rPr>
                <w:sz w:val="20"/>
              </w:rPr>
              <w:t xml:space="preserve"> nustatyta išsami jų taikymo tvarka </w:t>
            </w:r>
          </w:p>
        </w:tc>
        <w:tc>
          <w:tcPr>
            <w:tcW w:w="3770" w:type="dxa"/>
          </w:tcPr>
          <w:p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Administra</w:t>
            </w:r>
            <w:r w:rsidR="00D9401D" w:rsidRPr="00DC1445">
              <w:rPr>
                <w:sz w:val="20"/>
              </w:rPr>
              <w:t xml:space="preserve">cinės procedūros </w:t>
            </w:r>
            <w:r w:rsidR="0002794C" w:rsidRPr="00DC1445">
              <w:rPr>
                <w:sz w:val="20"/>
              </w:rPr>
              <w:t xml:space="preserve">nėra </w:t>
            </w:r>
            <w:r w:rsidR="00D9401D" w:rsidRPr="00DC1445">
              <w:rPr>
                <w:sz w:val="20"/>
              </w:rPr>
              <w:t xml:space="preserve">būtinos </w:t>
            </w:r>
          </w:p>
          <w:p w:rsidR="00603C50" w:rsidRPr="00DC1445" w:rsidRDefault="00603C50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603C50" w:rsidP="00603C50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91DC7">
              <w:rPr>
                <w:sz w:val="20"/>
              </w:rPr>
            </w:r>
            <w:r w:rsidR="00B91DC7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91DC7">
              <w:rPr>
                <w:sz w:val="20"/>
              </w:rPr>
            </w:r>
            <w:r w:rsidR="00B91DC7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:rsidR="00415931" w:rsidRPr="00DC1445" w:rsidRDefault="0002794C" w:rsidP="00FA159F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Nenustatytas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91DC7">
              <w:rPr>
                <w:sz w:val="20"/>
              </w:rPr>
            </w:r>
            <w:r w:rsidR="00B91DC7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91DC7">
              <w:rPr>
                <w:sz w:val="20"/>
              </w:rPr>
            </w:r>
            <w:r w:rsidR="00B91DC7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:rsidR="00415931" w:rsidRPr="00DC1445" w:rsidRDefault="0002794C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Nenustatyta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91DC7">
              <w:rPr>
                <w:sz w:val="20"/>
              </w:rPr>
            </w:r>
            <w:r w:rsidR="00B91DC7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91DC7">
              <w:rPr>
                <w:sz w:val="20"/>
              </w:rPr>
            </w:r>
            <w:r w:rsidR="00B91DC7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:rsidR="00415931" w:rsidRPr="00DC1445" w:rsidRDefault="00FA159F" w:rsidP="00FA51C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Tokios galimybės nenumatytos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91DC7">
              <w:rPr>
                <w:sz w:val="20"/>
              </w:rPr>
            </w:r>
            <w:r w:rsidR="00B91DC7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91DC7">
              <w:rPr>
                <w:sz w:val="20"/>
              </w:rPr>
            </w:r>
            <w:r w:rsidR="00B91DC7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14.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:rsidR="00415931" w:rsidRPr="00DC1445" w:rsidRDefault="0034130C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Administracinių procedūrų viešinimo tvarka nenustatyta.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91DC7">
              <w:rPr>
                <w:sz w:val="20"/>
              </w:rPr>
            </w:r>
            <w:r w:rsidR="00B91DC7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91DC7">
              <w:rPr>
                <w:sz w:val="20"/>
              </w:rPr>
            </w:r>
            <w:r w:rsidR="00B91DC7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:rsidR="00415931" w:rsidRPr="00DC1445" w:rsidRDefault="00DC1445" w:rsidP="0002794C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Kontrolės procedūrą vykdo Centralizuota vidaus audito tarnyba, vadovaudamasi tarnybos nuostatais 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91DC7">
              <w:rPr>
                <w:sz w:val="20"/>
              </w:rPr>
            </w:r>
            <w:r w:rsidR="00B91DC7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91DC7">
              <w:rPr>
                <w:sz w:val="20"/>
              </w:rPr>
            </w:r>
            <w:r w:rsidR="00B91DC7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:rsidR="00415931" w:rsidRPr="00DC1445" w:rsidRDefault="00D9401D" w:rsidP="00DC1445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Kontrolės (priežiūros) skaidrumo ir objektyvumo užtikrinimo pri</w:t>
            </w:r>
            <w:r w:rsidR="00C81773" w:rsidRPr="00DC1445">
              <w:rPr>
                <w:sz w:val="20"/>
              </w:rPr>
              <w:t>e</w:t>
            </w:r>
            <w:r w:rsidRPr="00DC1445">
              <w:rPr>
                <w:sz w:val="20"/>
              </w:rPr>
              <w:t xml:space="preserve">monės </w:t>
            </w:r>
            <w:r w:rsidR="00DC1445" w:rsidRPr="00DC1445">
              <w:rPr>
                <w:sz w:val="20"/>
              </w:rPr>
              <w:t xml:space="preserve">tvarkos apraše </w:t>
            </w:r>
            <w:r w:rsidRPr="00DC1445">
              <w:rPr>
                <w:sz w:val="20"/>
              </w:rPr>
              <w:t xml:space="preserve"> nenustatytos</w:t>
            </w:r>
            <w:r w:rsidR="00C81773" w:rsidRPr="00DC1445">
              <w:rPr>
                <w:sz w:val="20"/>
              </w:rPr>
              <w:t xml:space="preserve">. </w:t>
            </w:r>
            <w:r w:rsidR="00DC1445" w:rsidRPr="00DC1445">
              <w:rPr>
                <w:sz w:val="20"/>
              </w:rPr>
              <w:t>Centralizuota audito tarnyba</w:t>
            </w:r>
            <w:r w:rsidR="00FB6638" w:rsidRPr="00DC1445">
              <w:rPr>
                <w:sz w:val="20"/>
              </w:rPr>
              <w:t>,</w:t>
            </w:r>
            <w:r w:rsidR="00C81773" w:rsidRPr="00DC1445">
              <w:rPr>
                <w:sz w:val="20"/>
              </w:rPr>
              <w:t xml:space="preserve"> atlikdam</w:t>
            </w:r>
            <w:r w:rsidR="00FB6638" w:rsidRPr="00DC1445">
              <w:rPr>
                <w:sz w:val="20"/>
              </w:rPr>
              <w:t>a</w:t>
            </w:r>
            <w:r w:rsidR="00F12858" w:rsidRPr="00DC1445">
              <w:rPr>
                <w:sz w:val="20"/>
              </w:rPr>
              <w:t xml:space="preserve"> </w:t>
            </w:r>
            <w:r w:rsidR="00C81773" w:rsidRPr="00DC1445">
              <w:rPr>
                <w:sz w:val="20"/>
              </w:rPr>
              <w:t xml:space="preserve"> kontrolę, vadovaujasi </w:t>
            </w:r>
            <w:r w:rsidR="00E34738" w:rsidRPr="00DC1445">
              <w:rPr>
                <w:sz w:val="20"/>
              </w:rPr>
              <w:t>tarnybos nuostatais</w:t>
            </w:r>
          </w:p>
        </w:tc>
        <w:tc>
          <w:tcPr>
            <w:tcW w:w="3553" w:type="dxa"/>
          </w:tcPr>
          <w:p w:rsidR="00415931" w:rsidRPr="00DC1445" w:rsidRDefault="0098375D" w:rsidP="0098375D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91DC7">
              <w:rPr>
                <w:sz w:val="20"/>
              </w:rPr>
            </w:r>
            <w:r w:rsidR="00B91DC7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91DC7">
              <w:rPr>
                <w:sz w:val="20"/>
              </w:rPr>
            </w:r>
            <w:r w:rsidR="00B91DC7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:rsidR="00415931" w:rsidRPr="00DC1445" w:rsidRDefault="00E34738" w:rsidP="00EB23C2">
            <w:pPr>
              <w:ind w:firstLine="0"/>
              <w:rPr>
                <w:b/>
                <w:sz w:val="20"/>
              </w:rPr>
            </w:pPr>
            <w:r w:rsidRPr="00DC1445">
              <w:rPr>
                <w:sz w:val="20"/>
              </w:rPr>
              <w:t>Nenustatyta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b/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91DC7">
              <w:rPr>
                <w:sz w:val="20"/>
              </w:rPr>
            </w:r>
            <w:r w:rsidR="00B91DC7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91DC7">
              <w:rPr>
                <w:sz w:val="20"/>
              </w:rPr>
            </w:r>
            <w:r w:rsidR="00B91DC7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:rsidR="00415931" w:rsidRPr="00DC1445" w:rsidRDefault="00D40DFE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91DC7">
              <w:rPr>
                <w:sz w:val="20"/>
              </w:rPr>
            </w:r>
            <w:r w:rsidR="00B91DC7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91DC7">
              <w:rPr>
                <w:sz w:val="20"/>
              </w:rPr>
            </w:r>
            <w:r w:rsidR="00B91DC7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Kiti svarbūs kriterijai</w:t>
            </w:r>
          </w:p>
        </w:tc>
        <w:tc>
          <w:tcPr>
            <w:tcW w:w="3770" w:type="dxa"/>
          </w:tcPr>
          <w:p w:rsidR="00415931" w:rsidRPr="00DC1445" w:rsidRDefault="00EB23C2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</w:t>
            </w:r>
            <w:r w:rsidR="00483C9B" w:rsidRPr="00DC1445">
              <w:rPr>
                <w:sz w:val="20"/>
              </w:rPr>
              <w:t>ėra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91DC7">
              <w:rPr>
                <w:sz w:val="20"/>
              </w:rPr>
            </w:r>
            <w:r w:rsidR="00B91DC7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91DC7">
              <w:rPr>
                <w:sz w:val="20"/>
              </w:rPr>
            </w:r>
            <w:r w:rsidR="00B91DC7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</w:tbl>
    <w:p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163" w:rsidRDefault="00DC1445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Socialinės paramos ir sveikatos skyriaus vedėjo pavaduotoja</w:t>
            </w:r>
          </w:p>
          <w:p w:rsidR="00DC1445" w:rsidRPr="0049171D" w:rsidRDefault="00DC1445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Zita Čaplikienė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Juridinio ir personalo skyriaus vyriausioji specialistė Daiva </w:t>
            </w:r>
            <w:proofErr w:type="spellStart"/>
            <w:r>
              <w:rPr>
                <w:sz w:val="20"/>
              </w:rPr>
              <w:t>Jasiūnienė</w:t>
            </w:r>
            <w:proofErr w:type="spellEnd"/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DC7" w:rsidRDefault="00B91DC7">
      <w:r>
        <w:separator/>
      </w:r>
    </w:p>
  </w:endnote>
  <w:endnote w:type="continuationSeparator" w:id="0">
    <w:p w:rsidR="00B91DC7" w:rsidRDefault="00B9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DC7" w:rsidRDefault="00B91DC7">
      <w:r>
        <w:separator/>
      </w:r>
    </w:p>
  </w:footnote>
  <w:footnote w:type="continuationSeparator" w:id="0">
    <w:p w:rsidR="00B91DC7" w:rsidRDefault="00B91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2A66B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3E01">
      <w:rPr>
        <w:noProof/>
      </w:rPr>
      <w:t>2</w:t>
    </w:r>
    <w:r>
      <w:rPr>
        <w:noProof/>
      </w:rPr>
      <w:fldChar w:fldCharType="end"/>
    </w:r>
  </w:p>
  <w:p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2794C"/>
    <w:rsid w:val="000805B9"/>
    <w:rsid w:val="000F20BD"/>
    <w:rsid w:val="001D320D"/>
    <w:rsid w:val="002103F6"/>
    <w:rsid w:val="00274B3B"/>
    <w:rsid w:val="00280A64"/>
    <w:rsid w:val="002A66B1"/>
    <w:rsid w:val="002C1319"/>
    <w:rsid w:val="00315F0A"/>
    <w:rsid w:val="0034130C"/>
    <w:rsid w:val="00341866"/>
    <w:rsid w:val="00353120"/>
    <w:rsid w:val="003E3D37"/>
    <w:rsid w:val="003E77DF"/>
    <w:rsid w:val="003F4191"/>
    <w:rsid w:val="00415931"/>
    <w:rsid w:val="00457835"/>
    <w:rsid w:val="004806FA"/>
    <w:rsid w:val="00483C9B"/>
    <w:rsid w:val="004B272C"/>
    <w:rsid w:val="005018B3"/>
    <w:rsid w:val="005A104A"/>
    <w:rsid w:val="00603C50"/>
    <w:rsid w:val="00605C77"/>
    <w:rsid w:val="00607DA9"/>
    <w:rsid w:val="00610783"/>
    <w:rsid w:val="00611BF1"/>
    <w:rsid w:val="006524B5"/>
    <w:rsid w:val="006A2761"/>
    <w:rsid w:val="006E4163"/>
    <w:rsid w:val="007A6D30"/>
    <w:rsid w:val="00826C0A"/>
    <w:rsid w:val="00833C2F"/>
    <w:rsid w:val="008660F4"/>
    <w:rsid w:val="008E0082"/>
    <w:rsid w:val="0098375D"/>
    <w:rsid w:val="00A756D0"/>
    <w:rsid w:val="00A84E2D"/>
    <w:rsid w:val="00AD5B92"/>
    <w:rsid w:val="00B83E01"/>
    <w:rsid w:val="00B91DC7"/>
    <w:rsid w:val="00B9708B"/>
    <w:rsid w:val="00BA34EC"/>
    <w:rsid w:val="00C07CD7"/>
    <w:rsid w:val="00C25255"/>
    <w:rsid w:val="00C46D74"/>
    <w:rsid w:val="00C81773"/>
    <w:rsid w:val="00CC26E1"/>
    <w:rsid w:val="00CD1F94"/>
    <w:rsid w:val="00D40DFE"/>
    <w:rsid w:val="00D65F96"/>
    <w:rsid w:val="00D9401D"/>
    <w:rsid w:val="00DC1445"/>
    <w:rsid w:val="00E34738"/>
    <w:rsid w:val="00E63670"/>
    <w:rsid w:val="00E866D7"/>
    <w:rsid w:val="00EB23C2"/>
    <w:rsid w:val="00EC2396"/>
    <w:rsid w:val="00EE0149"/>
    <w:rsid w:val="00F12858"/>
    <w:rsid w:val="00F35BD6"/>
    <w:rsid w:val="00FA159F"/>
    <w:rsid w:val="00FA51C3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4164</Words>
  <Characters>2375</Characters>
  <Application>Microsoft Office Word</Application>
  <DocSecurity>0</DocSecurity>
  <Lines>19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2016-05-12T06:47:00Z</cp:lastPrinted>
  <dcterms:created xsi:type="dcterms:W3CDTF">2021-09-30T10:48:00Z</dcterms:created>
  <dcterms:modified xsi:type="dcterms:W3CDTF">2021-09-30T10:48:00Z</dcterms:modified>
</cp:coreProperties>
</file>