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F77D03">
        <w:rPr>
          <w:b/>
        </w:rPr>
        <w:t>DĖL FIKSUOTŲ PAJAMŲ MOKESČIO DYDŽIŲ IR LENGVATŲ, TAIKOMŲ ĮSIGYJANT VERSLO LIUDIJIMUS 2019 METAMS NUSTATYMO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:rsidR="00415931" w:rsidRPr="009A585C" w:rsidRDefault="00F77D03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VIOLETA BIELIŪNAITĖ-VANAGIENĖ</w:t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DC1445" w:rsidRDefault="00315F0A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Teisės akte nustatytos vienodos sąlygos visiems </w:t>
            </w:r>
            <w:r w:rsidR="00274B3B" w:rsidRPr="00DC1445">
              <w:rPr>
                <w:sz w:val="20"/>
              </w:rPr>
              <w:t>prašymus</w:t>
            </w:r>
            <w:r w:rsidRPr="00DC1445">
              <w:rPr>
                <w:sz w:val="20"/>
              </w:rPr>
              <w:t xml:space="preserve"> teikiantie</w:t>
            </w:r>
            <w:r w:rsidR="00274B3B" w:rsidRPr="00DC1445">
              <w:rPr>
                <w:sz w:val="20"/>
              </w:rPr>
              <w:t>m</w:t>
            </w:r>
            <w:r w:rsidRPr="00DC1445">
              <w:rPr>
                <w:sz w:val="20"/>
              </w:rPr>
              <w:t>s subjektams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F77D03" w:rsidRDefault="00F77D03" w:rsidP="00415931">
            <w:pPr>
              <w:ind w:firstLine="0"/>
              <w:rPr>
                <w:sz w:val="20"/>
              </w:rPr>
            </w:pPr>
            <w:r w:rsidRPr="00F77D03">
              <w:rPr>
                <w:sz w:val="20"/>
              </w:rPr>
              <w:t>Gyventojai verslo liudijimus gali įsigyti teritoriniuose VMI padaliniuose ir elektroniniu būdu. Savivaldybė verslo liudijimų išdavimo neadministruoja, o visos surinktos lėšos už įsigytus verslo liudijimus Rokiškio rajone, pervedamos į savivaldybės biudžetą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DC1445" w:rsidRDefault="00274B3B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Nustatytas 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DC1445" w:rsidRDefault="00274B3B" w:rsidP="00C2525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Išimtys nenustatytos</w:t>
            </w:r>
            <w:r w:rsidR="00C25255" w:rsidRPr="00DC1445">
              <w:rPr>
                <w:sz w:val="20"/>
              </w:rPr>
              <w:t xml:space="preserve"> </w:t>
            </w:r>
            <w:r w:rsidR="000805B9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DC1445" w:rsidRDefault="00C81773" w:rsidP="00C2525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Sprendimų </w:t>
            </w:r>
            <w:r w:rsidR="00FA159F" w:rsidRPr="00DC1445">
              <w:rPr>
                <w:sz w:val="20"/>
              </w:rPr>
              <w:t xml:space="preserve">viešinimo </w:t>
            </w:r>
            <w:r w:rsidRPr="00DC1445">
              <w:rPr>
                <w:sz w:val="20"/>
              </w:rPr>
              <w:t xml:space="preserve">tvarka </w:t>
            </w:r>
            <w:r w:rsidR="00C25255" w:rsidRPr="00DC1445">
              <w:rPr>
                <w:sz w:val="20"/>
              </w:rPr>
              <w:t>nenustatyta</w:t>
            </w:r>
            <w:r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346F0B" wp14:editId="6C94D94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:rsidR="00C81773" w:rsidRPr="00DC1445" w:rsidRDefault="00F77D03" w:rsidP="00DC14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Nenumatoma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</w:t>
            </w:r>
            <w:r w:rsidR="00F77D03">
              <w:rPr>
                <w:sz w:val="20"/>
              </w:rPr>
              <w:t xml:space="preserve">cinės procedūros taikomos LR mokesčių administravimo įstatymo nustatyta tvarka </w:t>
            </w:r>
            <w:r w:rsidR="00D9401D" w:rsidRPr="00DC1445">
              <w:rPr>
                <w:sz w:val="20"/>
              </w:rPr>
              <w:t xml:space="preserve"> </w:t>
            </w:r>
          </w:p>
          <w:p w:rsidR="00603C50" w:rsidRPr="00DC1445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DC1445" w:rsidRDefault="00F77D03" w:rsidP="00F77D0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DC1445" w:rsidRDefault="00F77D03" w:rsidP="00FA51C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DC1445" w:rsidRDefault="00F77D03" w:rsidP="0002794C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DC1445" w:rsidRDefault="00F77D03" w:rsidP="00DC144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DC1445" w:rsidRDefault="00F77D03" w:rsidP="00EB23C2">
            <w:pPr>
              <w:ind w:firstLine="0"/>
              <w:rPr>
                <w:b/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DC1445" w:rsidRDefault="00D40DFE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401CB4">
              <w:rPr>
                <w:sz w:val="20"/>
              </w:rPr>
            </w:r>
            <w:r w:rsidR="00401CB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163" w:rsidRDefault="00F77D03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Ūkio ir viešosios tvarkos skyriaus vyriausioji specialistė</w:t>
            </w:r>
          </w:p>
          <w:p w:rsidR="00DC1445" w:rsidRPr="0049171D" w:rsidRDefault="00F77D03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Violeta </w:t>
            </w:r>
            <w:proofErr w:type="spellStart"/>
            <w:r>
              <w:rPr>
                <w:sz w:val="20"/>
              </w:rPr>
              <w:t>Bieliūnaitė-Vanagienė</w:t>
            </w:r>
            <w:proofErr w:type="spellEnd"/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Daiva </w:t>
            </w:r>
            <w:proofErr w:type="spellStart"/>
            <w:r>
              <w:rPr>
                <w:sz w:val="20"/>
              </w:rPr>
              <w:t>Jasiūnienė</w:t>
            </w:r>
            <w:proofErr w:type="spellEnd"/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B4" w:rsidRDefault="00401CB4">
      <w:r>
        <w:separator/>
      </w:r>
    </w:p>
  </w:endnote>
  <w:endnote w:type="continuationSeparator" w:id="0">
    <w:p w:rsidR="00401CB4" w:rsidRDefault="0040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B4" w:rsidRDefault="00401CB4">
      <w:r>
        <w:separator/>
      </w:r>
    </w:p>
  </w:footnote>
  <w:footnote w:type="continuationSeparator" w:id="0">
    <w:p w:rsidR="00401CB4" w:rsidRDefault="0040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5A12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F20BD"/>
    <w:rsid w:val="001D320D"/>
    <w:rsid w:val="001E775A"/>
    <w:rsid w:val="002103F6"/>
    <w:rsid w:val="00274B3B"/>
    <w:rsid w:val="00280A64"/>
    <w:rsid w:val="002A66B1"/>
    <w:rsid w:val="002C1319"/>
    <w:rsid w:val="00315F0A"/>
    <w:rsid w:val="0034130C"/>
    <w:rsid w:val="00341866"/>
    <w:rsid w:val="00353120"/>
    <w:rsid w:val="003E3D37"/>
    <w:rsid w:val="003E77DF"/>
    <w:rsid w:val="003F4191"/>
    <w:rsid w:val="00401CB4"/>
    <w:rsid w:val="00415931"/>
    <w:rsid w:val="00457835"/>
    <w:rsid w:val="004806FA"/>
    <w:rsid w:val="00483C9B"/>
    <w:rsid w:val="004B272C"/>
    <w:rsid w:val="005018B3"/>
    <w:rsid w:val="005A104A"/>
    <w:rsid w:val="00603C50"/>
    <w:rsid w:val="00605C77"/>
    <w:rsid w:val="00607DA9"/>
    <w:rsid w:val="00610783"/>
    <w:rsid w:val="00611BF1"/>
    <w:rsid w:val="006524B5"/>
    <w:rsid w:val="006A2761"/>
    <w:rsid w:val="006E4163"/>
    <w:rsid w:val="007A6D30"/>
    <w:rsid w:val="00826C0A"/>
    <w:rsid w:val="00833C2F"/>
    <w:rsid w:val="008660F4"/>
    <w:rsid w:val="008E0082"/>
    <w:rsid w:val="0098375D"/>
    <w:rsid w:val="00A756D0"/>
    <w:rsid w:val="00A84E2D"/>
    <w:rsid w:val="00AD5B92"/>
    <w:rsid w:val="00B9708B"/>
    <w:rsid w:val="00BA34EC"/>
    <w:rsid w:val="00C07CD7"/>
    <w:rsid w:val="00C25255"/>
    <w:rsid w:val="00C266D4"/>
    <w:rsid w:val="00C46D74"/>
    <w:rsid w:val="00C81773"/>
    <w:rsid w:val="00CC26E1"/>
    <w:rsid w:val="00CD1F94"/>
    <w:rsid w:val="00D40DFE"/>
    <w:rsid w:val="00D45A12"/>
    <w:rsid w:val="00D65F96"/>
    <w:rsid w:val="00D9401D"/>
    <w:rsid w:val="00DC1445"/>
    <w:rsid w:val="00E34738"/>
    <w:rsid w:val="00E63670"/>
    <w:rsid w:val="00E866D7"/>
    <w:rsid w:val="00EB23C2"/>
    <w:rsid w:val="00EC2396"/>
    <w:rsid w:val="00EE0149"/>
    <w:rsid w:val="00F12858"/>
    <w:rsid w:val="00F35BD6"/>
    <w:rsid w:val="00F77D03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4058</Words>
  <Characters>2314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2018-06-21T10:56:00Z</cp:lastPrinted>
  <dcterms:created xsi:type="dcterms:W3CDTF">2021-09-30T10:55:00Z</dcterms:created>
  <dcterms:modified xsi:type="dcterms:W3CDTF">2021-09-30T10:55:00Z</dcterms:modified>
</cp:coreProperties>
</file>