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B1668" w14:textId="77777777" w:rsidR="00C81773" w:rsidRDefault="00C81773" w:rsidP="00415931">
      <w:pPr>
        <w:jc w:val="center"/>
        <w:rPr>
          <w:b/>
          <w:caps/>
          <w:szCs w:val="24"/>
        </w:rPr>
      </w:pPr>
      <w:bookmarkStart w:id="0" w:name="_GoBack"/>
      <w:bookmarkEnd w:id="0"/>
    </w:p>
    <w:p w14:paraId="075B1669" w14:textId="77777777" w:rsidR="006E4163" w:rsidRPr="006E4163" w:rsidRDefault="006E4163" w:rsidP="00415931">
      <w:pPr>
        <w:jc w:val="center"/>
        <w:rPr>
          <w:b/>
          <w:caps/>
          <w:szCs w:val="24"/>
        </w:rPr>
      </w:pPr>
      <w:r w:rsidRPr="006E4163">
        <w:rPr>
          <w:b/>
          <w:caps/>
          <w:szCs w:val="24"/>
        </w:rPr>
        <w:t>Rokiškio rajono savivaldybės</w:t>
      </w:r>
    </w:p>
    <w:p w14:paraId="075B166A" w14:textId="77777777"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14:paraId="075B166B" w14:textId="77777777" w:rsidR="00415931" w:rsidRDefault="00415931" w:rsidP="00415931">
      <w:pPr>
        <w:jc w:val="center"/>
        <w:rPr>
          <w:b/>
          <w:szCs w:val="24"/>
        </w:rPr>
      </w:pPr>
    </w:p>
    <w:p w14:paraId="075B166C" w14:textId="0A725574" w:rsidR="00CD1F94" w:rsidRDefault="00415931" w:rsidP="00A87F37">
      <w:pPr>
        <w:jc w:val="center"/>
        <w:rPr>
          <w:b/>
          <w:bCs/>
          <w:caps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0805B9">
        <w:rPr>
          <w:b/>
          <w:bCs/>
          <w:caps/>
        </w:rPr>
        <w:t>TARYBOS SPRENDIMO „</w:t>
      </w:r>
      <w:r w:rsidR="00C77E6A" w:rsidRPr="003E3C53">
        <w:rPr>
          <w:b/>
          <w:szCs w:val="24"/>
        </w:rPr>
        <w:t>DĖL VAIKŲ PRIĖMIMO Į ROKIŠKIO RAJONO SAVIVALDYBĖS ŠVIETIMO ĮSTAIGŲ IKIMOKYKLINIO IR PRIEŠMOKYKLINIO UGDYMO GRUPES</w:t>
      </w:r>
      <w:r w:rsidR="00C77E6A">
        <w:rPr>
          <w:b/>
          <w:szCs w:val="24"/>
        </w:rPr>
        <w:t xml:space="preserve"> IR GRUPIŲ KOMPLEKTAVIMO</w:t>
      </w:r>
      <w:r w:rsidR="00C77E6A" w:rsidRPr="003E3C53">
        <w:rPr>
          <w:b/>
          <w:szCs w:val="24"/>
        </w:rPr>
        <w:t xml:space="preserve"> TVARKOS APRAŠO PATVIRTINIMO</w:t>
      </w:r>
      <w:r w:rsidR="000805B9">
        <w:rPr>
          <w:b/>
          <w:bCs/>
          <w:caps/>
        </w:rPr>
        <w:t>“</w:t>
      </w:r>
      <w:r w:rsidR="00CD1F94">
        <w:rPr>
          <w:b/>
          <w:bCs/>
          <w:caps/>
        </w:rPr>
        <w:t xml:space="preserve">  projekto</w:t>
      </w:r>
    </w:p>
    <w:p w14:paraId="075B166D" w14:textId="77777777" w:rsidR="00415931" w:rsidRDefault="00415931" w:rsidP="00FF590B">
      <w:pPr>
        <w:tabs>
          <w:tab w:val="left" w:pos="9498"/>
        </w:tabs>
        <w:ind w:firstLine="0"/>
        <w:jc w:val="center"/>
        <w:rPr>
          <w:sz w:val="18"/>
          <w:szCs w:val="18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 w:val="18"/>
          <w:szCs w:val="18"/>
        </w:rPr>
        <w:t>(Teisės akto projekto pavadinimas)</w:t>
      </w:r>
    </w:p>
    <w:p w14:paraId="075B166E" w14:textId="7348A1FB" w:rsidR="00415931" w:rsidRPr="009A585C" w:rsidRDefault="00C77E6A" w:rsidP="00FF590B">
      <w:pPr>
        <w:jc w:val="center"/>
        <w:rPr>
          <w:szCs w:val="24"/>
          <w:u w:val="single"/>
        </w:rPr>
      </w:pPr>
      <w:r>
        <w:rPr>
          <w:b/>
          <w:szCs w:val="24"/>
        </w:rPr>
        <w:t>JOLITA GEIDANIENĖ</w:t>
      </w:r>
    </w:p>
    <w:p w14:paraId="075B166F" w14:textId="77777777"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tiesioginis rengėjas)</w:t>
      </w: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5020"/>
        <w:gridCol w:w="3770"/>
        <w:gridCol w:w="3553"/>
        <w:gridCol w:w="2757"/>
      </w:tblGrid>
      <w:tr w:rsidR="00415931" w:rsidRPr="00153F5D" w14:paraId="075B1675" w14:textId="77777777" w:rsidTr="00415931">
        <w:trPr>
          <w:trHeight w:val="23"/>
          <w:tblHeader/>
        </w:trPr>
        <w:tc>
          <w:tcPr>
            <w:tcW w:w="565" w:type="dxa"/>
            <w:vAlign w:val="center"/>
          </w:tcPr>
          <w:p w14:paraId="075B1670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Eil. Nr.</w:t>
            </w:r>
          </w:p>
        </w:tc>
        <w:tc>
          <w:tcPr>
            <w:tcW w:w="5020" w:type="dxa"/>
            <w:vAlign w:val="center"/>
          </w:tcPr>
          <w:p w14:paraId="075B1671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Kriterijus</w:t>
            </w:r>
          </w:p>
        </w:tc>
        <w:tc>
          <w:tcPr>
            <w:tcW w:w="3770" w:type="dxa"/>
            <w:vAlign w:val="center"/>
          </w:tcPr>
          <w:p w14:paraId="075B1672" w14:textId="77777777" w:rsidR="00415931" w:rsidRPr="00153F5D" w:rsidRDefault="00415931" w:rsidP="004159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Pagrindimas (nurodomos konkrečios teisės ak</w:t>
            </w:r>
            <w:r>
              <w:rPr>
                <w:sz w:val="22"/>
                <w:szCs w:val="22"/>
              </w:rPr>
              <w:t xml:space="preserve">to projekto ar kitų teisės aktų </w:t>
            </w:r>
            <w:r w:rsidRPr="00153F5D">
              <w:rPr>
                <w:sz w:val="22"/>
                <w:szCs w:val="22"/>
              </w:rPr>
              <w:t>nuos</w:t>
            </w:r>
            <w:r>
              <w:rPr>
                <w:sz w:val="22"/>
                <w:szCs w:val="22"/>
              </w:rPr>
              <w:t xml:space="preserve">tatos, pagrindžiančios teigiamą </w:t>
            </w:r>
            <w:r w:rsidRPr="00153F5D">
              <w:rPr>
                <w:sz w:val="22"/>
                <w:szCs w:val="22"/>
              </w:rPr>
              <w:t xml:space="preserve">atsakymą, arba pateikiamos </w:t>
            </w:r>
            <w:r>
              <w:rPr>
                <w:sz w:val="22"/>
                <w:szCs w:val="22"/>
              </w:rPr>
              <w:t>antikorup</w:t>
            </w:r>
            <w:r w:rsidRPr="00153F5D">
              <w:rPr>
                <w:sz w:val="22"/>
                <w:szCs w:val="22"/>
              </w:rPr>
              <w:t xml:space="preserve">cinį teisės akto projekto </w:t>
            </w:r>
            <w:r>
              <w:rPr>
                <w:sz w:val="22"/>
                <w:szCs w:val="22"/>
              </w:rPr>
              <w:t xml:space="preserve">vertinimą </w:t>
            </w:r>
            <w:r w:rsidRPr="00153F5D">
              <w:rPr>
                <w:sz w:val="22"/>
                <w:szCs w:val="22"/>
              </w:rPr>
              <w:t>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14:paraId="075B1673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14:paraId="075B1674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415931" w:rsidRPr="00153F5D" w14:paraId="075B167B" w14:textId="77777777" w:rsidTr="00415931">
        <w:trPr>
          <w:trHeight w:val="23"/>
          <w:tblHeader/>
        </w:trPr>
        <w:tc>
          <w:tcPr>
            <w:tcW w:w="565" w:type="dxa"/>
          </w:tcPr>
          <w:p w14:paraId="075B1676" w14:textId="77777777" w:rsidR="00415931" w:rsidRPr="00153F5D" w:rsidRDefault="00415931" w:rsidP="00415931">
            <w:pPr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020" w:type="dxa"/>
          </w:tcPr>
          <w:p w14:paraId="075B1677" w14:textId="77777777" w:rsidR="00415931" w:rsidRPr="00153F5D" w:rsidRDefault="00415931" w:rsidP="00415931">
            <w:pPr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  <w:vAlign w:val="center"/>
          </w:tcPr>
          <w:p w14:paraId="075B1678" w14:textId="77777777"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14:paraId="075B1679" w14:textId="77777777"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14:paraId="075B167A" w14:textId="77777777"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</w:tr>
      <w:tr w:rsidR="00415931" w:rsidRPr="00153F5D" w14:paraId="075B1684" w14:textId="77777777" w:rsidTr="00415931">
        <w:trPr>
          <w:trHeight w:val="23"/>
          <w:tblHeader/>
        </w:trPr>
        <w:tc>
          <w:tcPr>
            <w:tcW w:w="565" w:type="dxa"/>
          </w:tcPr>
          <w:p w14:paraId="075B167C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1.</w:t>
            </w:r>
          </w:p>
        </w:tc>
        <w:tc>
          <w:tcPr>
            <w:tcW w:w="5020" w:type="dxa"/>
          </w:tcPr>
          <w:p w14:paraId="075B167D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14:paraId="075B167E" w14:textId="77777777" w:rsidR="00415931" w:rsidRPr="006929A3" w:rsidRDefault="00B21393" w:rsidP="00324B5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Nesudaro</w:t>
            </w:r>
          </w:p>
        </w:tc>
        <w:tc>
          <w:tcPr>
            <w:tcW w:w="3553" w:type="dxa"/>
          </w:tcPr>
          <w:p w14:paraId="075B167F" w14:textId="77777777" w:rsidR="00415931" w:rsidRPr="00153F5D" w:rsidRDefault="00611BF1" w:rsidP="00611BF1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680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81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1" w:name="Check2"/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2238">
              <w:rPr>
                <w:sz w:val="22"/>
                <w:szCs w:val="22"/>
              </w:rPr>
            </w:r>
            <w:r w:rsidR="00D5223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bookmarkEnd w:id="1"/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82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83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2" w:name="Check1"/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2238">
              <w:rPr>
                <w:sz w:val="22"/>
                <w:szCs w:val="22"/>
              </w:rPr>
            </w:r>
            <w:r w:rsidR="00D5223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bookmarkEnd w:id="2"/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8D" w14:textId="77777777" w:rsidTr="00415931">
        <w:trPr>
          <w:trHeight w:val="23"/>
          <w:tblHeader/>
        </w:trPr>
        <w:tc>
          <w:tcPr>
            <w:tcW w:w="565" w:type="dxa"/>
          </w:tcPr>
          <w:p w14:paraId="075B1685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2.</w:t>
            </w:r>
          </w:p>
        </w:tc>
        <w:tc>
          <w:tcPr>
            <w:tcW w:w="5020" w:type="dxa"/>
          </w:tcPr>
          <w:p w14:paraId="075B1686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14:paraId="075B1687" w14:textId="77777777" w:rsidR="00415931" w:rsidRPr="00153F5D" w:rsidRDefault="00611BF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Nėra</w:t>
            </w:r>
          </w:p>
        </w:tc>
        <w:tc>
          <w:tcPr>
            <w:tcW w:w="3553" w:type="dxa"/>
          </w:tcPr>
          <w:p w14:paraId="075B1688" w14:textId="77777777" w:rsidR="00415931" w:rsidRPr="00153F5D" w:rsidRDefault="00611BF1" w:rsidP="00611BF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689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8A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2238">
              <w:rPr>
                <w:sz w:val="22"/>
                <w:szCs w:val="22"/>
              </w:rPr>
            </w:r>
            <w:r w:rsidR="00D5223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8B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8C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2238">
              <w:rPr>
                <w:sz w:val="22"/>
                <w:szCs w:val="22"/>
              </w:rPr>
            </w:r>
            <w:r w:rsidR="00D5223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96" w14:textId="77777777" w:rsidTr="00415931">
        <w:trPr>
          <w:trHeight w:val="23"/>
          <w:tblHeader/>
        </w:trPr>
        <w:tc>
          <w:tcPr>
            <w:tcW w:w="565" w:type="dxa"/>
          </w:tcPr>
          <w:p w14:paraId="075B168E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3.</w:t>
            </w:r>
          </w:p>
        </w:tc>
        <w:tc>
          <w:tcPr>
            <w:tcW w:w="5020" w:type="dxa"/>
          </w:tcPr>
          <w:p w14:paraId="075B168F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14:paraId="075B1690" w14:textId="5267C867" w:rsidR="00C81773" w:rsidRPr="004853BE" w:rsidRDefault="004853BE" w:rsidP="004853BE">
            <w:pPr>
              <w:ind w:firstLine="0"/>
              <w:rPr>
                <w:sz w:val="22"/>
                <w:szCs w:val="22"/>
              </w:rPr>
            </w:pPr>
            <w:r w:rsidRPr="004853BE">
              <w:rPr>
                <w:sz w:val="22"/>
                <w:szCs w:val="22"/>
              </w:rPr>
              <w:t>Aprašo 17 p. nustatyta, kad v</w:t>
            </w:r>
            <w:r w:rsidRPr="004853BE">
              <w:rPr>
                <w:rStyle w:val="FontStyle21"/>
              </w:rPr>
              <w:t>aikų priėmimą naujiems mokslo metams į Rokiškio miesto Įstaigas vykdo komisija, kurios sudėtį tvirtina Savivaldybės administracijos direktorius. Sprendimų teisėtumą tikrina Savivaldybės administracijos Centralizuota vidaus audito tarnyba.</w:t>
            </w:r>
          </w:p>
        </w:tc>
        <w:tc>
          <w:tcPr>
            <w:tcW w:w="3553" w:type="dxa"/>
          </w:tcPr>
          <w:p w14:paraId="075B1691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075B1692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93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2238">
              <w:rPr>
                <w:sz w:val="22"/>
                <w:szCs w:val="22"/>
              </w:rPr>
            </w:r>
            <w:r w:rsidR="00D5223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94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95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2238">
              <w:rPr>
                <w:sz w:val="22"/>
                <w:szCs w:val="22"/>
              </w:rPr>
            </w:r>
            <w:r w:rsidR="00D5223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</w:t>
            </w:r>
            <w:r>
              <w:rPr>
                <w:sz w:val="22"/>
                <w:szCs w:val="22"/>
              </w:rPr>
              <w:t>a</w:t>
            </w:r>
          </w:p>
        </w:tc>
      </w:tr>
      <w:tr w:rsidR="00415931" w:rsidRPr="00153F5D" w14:paraId="075B169F" w14:textId="77777777" w:rsidTr="00415931">
        <w:trPr>
          <w:trHeight w:val="23"/>
          <w:tblHeader/>
        </w:trPr>
        <w:tc>
          <w:tcPr>
            <w:tcW w:w="565" w:type="dxa"/>
          </w:tcPr>
          <w:p w14:paraId="075B1697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4.</w:t>
            </w:r>
          </w:p>
        </w:tc>
        <w:tc>
          <w:tcPr>
            <w:tcW w:w="5020" w:type="dxa"/>
          </w:tcPr>
          <w:p w14:paraId="075B1698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14:paraId="075B1699" w14:textId="77777777" w:rsidR="00415931" w:rsidRPr="00153F5D" w:rsidRDefault="00280A64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Atitinka</w:t>
            </w:r>
          </w:p>
        </w:tc>
        <w:tc>
          <w:tcPr>
            <w:tcW w:w="3553" w:type="dxa"/>
          </w:tcPr>
          <w:p w14:paraId="075B169A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075B169B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9C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2238">
              <w:rPr>
                <w:sz w:val="22"/>
                <w:szCs w:val="22"/>
              </w:rPr>
            </w:r>
            <w:r w:rsidR="00D5223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9D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9E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2238">
              <w:rPr>
                <w:sz w:val="22"/>
                <w:szCs w:val="22"/>
              </w:rPr>
            </w:r>
            <w:r w:rsidR="00D5223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A8" w14:textId="77777777" w:rsidTr="00415931">
        <w:trPr>
          <w:trHeight w:val="23"/>
          <w:tblHeader/>
        </w:trPr>
        <w:tc>
          <w:tcPr>
            <w:tcW w:w="565" w:type="dxa"/>
          </w:tcPr>
          <w:p w14:paraId="075B16A0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5020" w:type="dxa"/>
          </w:tcPr>
          <w:p w14:paraId="075B16A1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14:paraId="075B16A2" w14:textId="3207FEDE" w:rsidR="00415931" w:rsidRPr="00153F5D" w:rsidRDefault="00324B53" w:rsidP="00FA159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Nustatytas</w:t>
            </w:r>
            <w:r w:rsidR="00527B4A">
              <w:rPr>
                <w:sz w:val="22"/>
                <w:szCs w:val="22"/>
              </w:rPr>
              <w:t>. Aprašo 6, 19, 20, 21, 22 punktai</w:t>
            </w:r>
            <w:r w:rsidR="00FA15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3" w:type="dxa"/>
          </w:tcPr>
          <w:p w14:paraId="075B16A3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075B16A4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A5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2238">
              <w:rPr>
                <w:sz w:val="22"/>
                <w:szCs w:val="22"/>
              </w:rPr>
            </w:r>
            <w:r w:rsidR="00D5223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A6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A7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2238">
              <w:rPr>
                <w:sz w:val="22"/>
                <w:szCs w:val="22"/>
              </w:rPr>
            </w:r>
            <w:r w:rsidR="00D5223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B1" w14:textId="77777777" w:rsidTr="00415931">
        <w:trPr>
          <w:trHeight w:val="23"/>
          <w:tblHeader/>
        </w:trPr>
        <w:tc>
          <w:tcPr>
            <w:tcW w:w="565" w:type="dxa"/>
          </w:tcPr>
          <w:p w14:paraId="075B16A9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6.</w:t>
            </w:r>
          </w:p>
        </w:tc>
        <w:tc>
          <w:tcPr>
            <w:tcW w:w="5020" w:type="dxa"/>
          </w:tcPr>
          <w:p w14:paraId="075B16AA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14:paraId="075B16AB" w14:textId="4A1376CF" w:rsidR="00415931" w:rsidRPr="00153F5D" w:rsidRDefault="00D85764" w:rsidP="00AA64D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Nustatyta</w:t>
            </w:r>
            <w:r w:rsidR="00A87F37">
              <w:rPr>
                <w:sz w:val="22"/>
                <w:szCs w:val="22"/>
              </w:rPr>
              <w:t>s</w:t>
            </w:r>
            <w:r w:rsidR="00527B4A">
              <w:rPr>
                <w:sz w:val="22"/>
                <w:szCs w:val="22"/>
              </w:rPr>
              <w:t>. Aprašo 20, 21 punktai</w:t>
            </w:r>
          </w:p>
        </w:tc>
        <w:tc>
          <w:tcPr>
            <w:tcW w:w="3553" w:type="dxa"/>
          </w:tcPr>
          <w:p w14:paraId="075B16AC" w14:textId="77777777" w:rsidR="00415931" w:rsidRPr="00153F5D" w:rsidRDefault="00CC26E1" w:rsidP="00CC26E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6AD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AE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773">
              <w:rPr>
                <w:sz w:val="22"/>
                <w:szCs w:val="22"/>
              </w:rPr>
              <w:instrText xml:space="preserve"> FORMCHECKBOX </w:instrText>
            </w:r>
            <w:r w:rsidR="00D52238">
              <w:rPr>
                <w:sz w:val="22"/>
                <w:szCs w:val="22"/>
              </w:rPr>
            </w:r>
            <w:r w:rsidR="00D5223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AF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B0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2238">
              <w:rPr>
                <w:sz w:val="22"/>
                <w:szCs w:val="22"/>
              </w:rPr>
            </w:r>
            <w:r w:rsidR="00D5223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BA" w14:textId="77777777" w:rsidTr="00415931">
        <w:trPr>
          <w:trHeight w:val="23"/>
          <w:tblHeader/>
        </w:trPr>
        <w:tc>
          <w:tcPr>
            <w:tcW w:w="565" w:type="dxa"/>
          </w:tcPr>
          <w:p w14:paraId="075B16B2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7.</w:t>
            </w:r>
          </w:p>
        </w:tc>
        <w:tc>
          <w:tcPr>
            <w:tcW w:w="5020" w:type="dxa"/>
          </w:tcPr>
          <w:p w14:paraId="075B16B3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14:paraId="075B16B4" w14:textId="51E4596A" w:rsidR="00415931" w:rsidRPr="00153F5D" w:rsidRDefault="00C81773" w:rsidP="00527B4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Sprendimų priėm</w:t>
            </w:r>
            <w:r w:rsidR="00EB7664">
              <w:rPr>
                <w:sz w:val="22"/>
                <w:szCs w:val="22"/>
              </w:rPr>
              <w:t>imo, įforminimo tvarka</w:t>
            </w:r>
            <w:r w:rsidR="00B34D74">
              <w:rPr>
                <w:sz w:val="22"/>
                <w:szCs w:val="22"/>
              </w:rPr>
              <w:t xml:space="preserve"> nustatyta Aprašo </w:t>
            </w:r>
            <w:r w:rsidR="00D85764">
              <w:rPr>
                <w:sz w:val="22"/>
                <w:szCs w:val="22"/>
              </w:rPr>
              <w:t>57 p.</w:t>
            </w:r>
            <w:r w:rsidR="00B34D74">
              <w:rPr>
                <w:sz w:val="22"/>
                <w:szCs w:val="22"/>
              </w:rPr>
              <w:t xml:space="preserve"> Komisijos sprendimų viešinimas negalimas dėl įstatymais nustatyto jautrios informacijos skelbimo (nepilnamečių vaikų asmens duomenys) ribojimo.</w:t>
            </w:r>
            <w:r w:rsidR="00527B4A">
              <w:rPr>
                <w:sz w:val="22"/>
                <w:szCs w:val="22"/>
              </w:rPr>
              <w:t xml:space="preserve"> </w:t>
            </w:r>
            <w:r w:rsidR="00B34D74">
              <w:rPr>
                <w:sz w:val="22"/>
                <w:szCs w:val="22"/>
              </w:rPr>
              <w:t>Aprašo 60 p. nustatyta, kad i</w:t>
            </w:r>
            <w:r w:rsidR="00B34D74" w:rsidRPr="00B34D74">
              <w:rPr>
                <w:sz w:val="22"/>
                <w:szCs w:val="22"/>
              </w:rPr>
              <w:t>nformacija apie laisvas vietas Rokiškio miesto Įstaigų grupėse skelbiama ir atnaujinama (pasikeitus situacijai) Savivaldybės internetinėje svetainėje.</w:t>
            </w:r>
          </w:p>
        </w:tc>
        <w:tc>
          <w:tcPr>
            <w:tcW w:w="3553" w:type="dxa"/>
          </w:tcPr>
          <w:p w14:paraId="075B16B5" w14:textId="77777777" w:rsidR="00415931" w:rsidRPr="00153F5D" w:rsidRDefault="00CC26E1" w:rsidP="00CC26E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6B6" w14:textId="77777777" w:rsidR="00415931" w:rsidRDefault="009B63B2" w:rsidP="00415931">
            <w:pPr>
              <w:ind w:firstLine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75B174A" wp14:editId="075B174B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114300</wp:posOffset>
                      </wp:positionV>
                      <wp:extent cx="138430" cy="138430"/>
                      <wp:effectExtent l="11430" t="9525" r="12065" b="139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15pt;margin-top:9pt;width:10.9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" fillcolor="#bfbfbf"/>
                  </w:pict>
                </mc:Fallback>
              </mc:AlternateContent>
            </w:r>
          </w:p>
          <w:p w14:paraId="075B16B7" w14:textId="77777777" w:rsidR="00415931" w:rsidRPr="00C81773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81773">
              <w:rPr>
                <w:sz w:val="22"/>
                <w:szCs w:val="22"/>
              </w:rPr>
              <w:t xml:space="preserve">       </w:t>
            </w:r>
            <w:r w:rsidRPr="00C81773">
              <w:rPr>
                <w:sz w:val="22"/>
                <w:szCs w:val="22"/>
              </w:rPr>
              <w:t>tenkina</w:t>
            </w:r>
          </w:p>
          <w:p w14:paraId="075B16B8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B9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2238">
              <w:rPr>
                <w:sz w:val="22"/>
                <w:szCs w:val="22"/>
              </w:rPr>
            </w:r>
            <w:r w:rsidR="00D5223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C3" w14:textId="77777777" w:rsidTr="00415931">
        <w:trPr>
          <w:trHeight w:val="23"/>
          <w:tblHeader/>
        </w:trPr>
        <w:tc>
          <w:tcPr>
            <w:tcW w:w="565" w:type="dxa"/>
          </w:tcPr>
          <w:p w14:paraId="075B16BB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8.</w:t>
            </w:r>
          </w:p>
        </w:tc>
        <w:tc>
          <w:tcPr>
            <w:tcW w:w="5020" w:type="dxa"/>
          </w:tcPr>
          <w:p w14:paraId="075B16BC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14:paraId="075B16BD" w14:textId="77777777" w:rsidR="00415931" w:rsidRPr="00EE0149" w:rsidRDefault="00F35BD6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Tokia tvarka nenustatyta</w:t>
            </w:r>
          </w:p>
        </w:tc>
        <w:tc>
          <w:tcPr>
            <w:tcW w:w="3553" w:type="dxa"/>
          </w:tcPr>
          <w:p w14:paraId="075B16BE" w14:textId="77777777" w:rsidR="00415931" w:rsidRPr="00153F5D" w:rsidRDefault="00EE0149" w:rsidP="00EE014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6BF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C0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2238">
              <w:rPr>
                <w:sz w:val="22"/>
                <w:szCs w:val="22"/>
              </w:rPr>
            </w:r>
            <w:r w:rsidR="00D5223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C1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C2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2238">
              <w:rPr>
                <w:sz w:val="22"/>
                <w:szCs w:val="22"/>
              </w:rPr>
            </w:r>
            <w:r w:rsidR="00D5223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DA" w14:textId="77777777" w:rsidTr="00415931">
        <w:trPr>
          <w:trHeight w:val="23"/>
          <w:tblHeader/>
        </w:trPr>
        <w:tc>
          <w:tcPr>
            <w:tcW w:w="565" w:type="dxa"/>
          </w:tcPr>
          <w:p w14:paraId="075B16C4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</w:t>
            </w:r>
          </w:p>
        </w:tc>
        <w:tc>
          <w:tcPr>
            <w:tcW w:w="5020" w:type="dxa"/>
          </w:tcPr>
          <w:p w14:paraId="075B16C5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14:paraId="075B16C6" w14:textId="77777777" w:rsidR="00415931" w:rsidRPr="00153F5D" w:rsidRDefault="00415931" w:rsidP="00415931">
            <w:pPr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9.1. konkretus narių skaičius, užtikrinantis kolegialaus sprendimus priimančio subjekto veiklos objektyvumą;</w:t>
            </w:r>
          </w:p>
          <w:p w14:paraId="075B16C7" w14:textId="77777777" w:rsidR="00415931" w:rsidRPr="00153F5D" w:rsidRDefault="00415931" w:rsidP="00415931">
            <w:pPr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075B16C8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9.3</w:t>
            </w:r>
            <w:r w:rsidRPr="00153F5D">
              <w:rPr>
                <w:spacing w:val="-4"/>
                <w:sz w:val="22"/>
                <w:szCs w:val="22"/>
              </w:rPr>
              <w:t>. narių skyrimo mechanizmas;</w:t>
            </w:r>
          </w:p>
          <w:p w14:paraId="075B16C9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9.4. narių rotacija ir kadencijų skaičius ir trukmė;</w:t>
            </w:r>
          </w:p>
          <w:p w14:paraId="075B16CA" w14:textId="77777777" w:rsidR="00415931" w:rsidRPr="00153F5D" w:rsidRDefault="00415931" w:rsidP="00415931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9.5. veiklos pobūdis laiko atžvilgiu;</w:t>
            </w:r>
          </w:p>
          <w:p w14:paraId="075B16CB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9.6. individuali narių atsakomybė</w:t>
            </w:r>
          </w:p>
        </w:tc>
        <w:tc>
          <w:tcPr>
            <w:tcW w:w="3770" w:type="dxa"/>
          </w:tcPr>
          <w:p w14:paraId="075B16CC" w14:textId="3FF50973" w:rsidR="00C81773" w:rsidRDefault="00D85764" w:rsidP="00415931">
            <w:pPr>
              <w:ind w:firstLine="0"/>
              <w:rPr>
                <w:sz w:val="22"/>
                <w:szCs w:val="22"/>
              </w:rPr>
            </w:pPr>
            <w:r w:rsidRPr="004853BE">
              <w:rPr>
                <w:sz w:val="22"/>
                <w:szCs w:val="22"/>
              </w:rPr>
              <w:t>Aprašo 17 p. nustatyta, kad v</w:t>
            </w:r>
            <w:r w:rsidRPr="004853BE">
              <w:rPr>
                <w:rStyle w:val="FontStyle21"/>
              </w:rPr>
              <w:t>aikų priėmimą naujiems mokslo metams į Rokiškio miesto Įstaigas vykdo komisija, kurios sudėtį tvirtina Savivaldybės administracijos direktorius</w:t>
            </w:r>
            <w:r w:rsidR="00781E4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Komisijos sudarymo kriterijai nėra nustatyti.</w:t>
            </w:r>
          </w:p>
          <w:p w14:paraId="075B16CD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075B16CE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075B16CF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075B16D0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075B16D1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075B16D2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075B16D3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075B16D4" w14:textId="77777777" w:rsidR="00C81773" w:rsidRPr="00EE0149" w:rsidRDefault="00C81773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53" w:type="dxa"/>
          </w:tcPr>
          <w:p w14:paraId="075B16D5" w14:textId="77777777" w:rsidR="00415931" w:rsidRPr="00EE0149" w:rsidRDefault="005018B3" w:rsidP="005018B3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6D6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D7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2238">
              <w:rPr>
                <w:sz w:val="22"/>
                <w:szCs w:val="22"/>
              </w:rPr>
            </w:r>
            <w:r w:rsidR="00D5223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D8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D9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2238">
              <w:rPr>
                <w:sz w:val="22"/>
                <w:szCs w:val="22"/>
              </w:rPr>
            </w:r>
            <w:r w:rsidR="00D5223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E4" w14:textId="77777777" w:rsidTr="00415931">
        <w:trPr>
          <w:trHeight w:val="23"/>
          <w:tblHeader/>
        </w:trPr>
        <w:tc>
          <w:tcPr>
            <w:tcW w:w="565" w:type="dxa"/>
          </w:tcPr>
          <w:p w14:paraId="075B16DB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5020" w:type="dxa"/>
          </w:tcPr>
          <w:p w14:paraId="075B16DC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153F5D">
              <w:rPr>
                <w:sz w:val="22"/>
                <w:szCs w:val="22"/>
                <w:shd w:val="clear" w:color="auto" w:fill="FFFFFF"/>
              </w:rPr>
              <w:t>būtinos,</w:t>
            </w:r>
            <w:r w:rsidRPr="00153F5D">
              <w:rPr>
                <w:sz w:val="22"/>
                <w:szCs w:val="22"/>
              </w:rPr>
              <w:t xml:space="preserve"> nustatyta išsami jų taikymo tvarka </w:t>
            </w:r>
          </w:p>
        </w:tc>
        <w:tc>
          <w:tcPr>
            <w:tcW w:w="3770" w:type="dxa"/>
          </w:tcPr>
          <w:p w14:paraId="075B16DD" w14:textId="79E8CBCF" w:rsidR="00415931" w:rsidRDefault="00EB7664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Nustatyta </w:t>
            </w:r>
          </w:p>
          <w:p w14:paraId="075B16DE" w14:textId="77777777" w:rsidR="00603C50" w:rsidRPr="00153F5D" w:rsidRDefault="00603C50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53" w:type="dxa"/>
          </w:tcPr>
          <w:p w14:paraId="075B16DF" w14:textId="77777777" w:rsidR="00415931" w:rsidRPr="00153F5D" w:rsidRDefault="00603C50" w:rsidP="00603C5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6E0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E1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2238">
              <w:rPr>
                <w:sz w:val="22"/>
                <w:szCs w:val="22"/>
              </w:rPr>
            </w:r>
            <w:r w:rsidR="00D5223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E2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E3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2238">
              <w:rPr>
                <w:sz w:val="22"/>
                <w:szCs w:val="22"/>
              </w:rPr>
            </w:r>
            <w:r w:rsidR="00D5223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ED" w14:textId="77777777" w:rsidTr="00415931">
        <w:trPr>
          <w:trHeight w:val="23"/>
          <w:tblHeader/>
        </w:trPr>
        <w:tc>
          <w:tcPr>
            <w:tcW w:w="565" w:type="dxa"/>
          </w:tcPr>
          <w:p w14:paraId="075B16E5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11.</w:t>
            </w:r>
          </w:p>
        </w:tc>
        <w:tc>
          <w:tcPr>
            <w:tcW w:w="5020" w:type="dxa"/>
          </w:tcPr>
          <w:p w14:paraId="075B16E6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14:paraId="075B16E7" w14:textId="456358CF" w:rsidR="00415931" w:rsidRPr="00153F5D" w:rsidRDefault="00EB7664" w:rsidP="00EB766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</w:t>
            </w:r>
            <w:r w:rsidR="00AA64D4">
              <w:rPr>
                <w:sz w:val="22"/>
                <w:szCs w:val="22"/>
              </w:rPr>
              <w:t>ustatyta</w:t>
            </w:r>
          </w:p>
        </w:tc>
        <w:tc>
          <w:tcPr>
            <w:tcW w:w="3553" w:type="dxa"/>
          </w:tcPr>
          <w:p w14:paraId="075B16E8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075B16E9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EA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2238">
              <w:rPr>
                <w:sz w:val="22"/>
                <w:szCs w:val="22"/>
              </w:rPr>
            </w:r>
            <w:r w:rsidR="00D5223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EB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EC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2238">
              <w:rPr>
                <w:sz w:val="22"/>
                <w:szCs w:val="22"/>
              </w:rPr>
            </w:r>
            <w:r w:rsidR="00D5223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F6" w14:textId="77777777" w:rsidTr="00415931">
        <w:trPr>
          <w:trHeight w:val="23"/>
          <w:tblHeader/>
        </w:trPr>
        <w:tc>
          <w:tcPr>
            <w:tcW w:w="565" w:type="dxa"/>
          </w:tcPr>
          <w:p w14:paraId="075B16EE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12.</w:t>
            </w:r>
          </w:p>
        </w:tc>
        <w:tc>
          <w:tcPr>
            <w:tcW w:w="5020" w:type="dxa"/>
          </w:tcPr>
          <w:p w14:paraId="075B16EF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14:paraId="075B16F0" w14:textId="15ABD2F5" w:rsidR="00415931" w:rsidRPr="00153F5D" w:rsidRDefault="00D85764" w:rsidP="00EB766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Terminai nustatyti Aprašo 5.4, 10, 19, 23, 24, 32, 41.3, 56, 58 punktuose </w:t>
            </w:r>
          </w:p>
        </w:tc>
        <w:tc>
          <w:tcPr>
            <w:tcW w:w="3553" w:type="dxa"/>
          </w:tcPr>
          <w:p w14:paraId="075B16F1" w14:textId="77777777"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6F2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F3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2238">
              <w:rPr>
                <w:sz w:val="22"/>
                <w:szCs w:val="22"/>
              </w:rPr>
            </w:r>
            <w:r w:rsidR="00D5223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F4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F5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2238">
              <w:rPr>
                <w:sz w:val="22"/>
                <w:szCs w:val="22"/>
              </w:rPr>
            </w:r>
            <w:r w:rsidR="00D5223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FF" w14:textId="77777777" w:rsidTr="00415931">
        <w:trPr>
          <w:trHeight w:val="23"/>
          <w:tblHeader/>
        </w:trPr>
        <w:tc>
          <w:tcPr>
            <w:tcW w:w="565" w:type="dxa"/>
          </w:tcPr>
          <w:p w14:paraId="075B16F7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13.</w:t>
            </w:r>
          </w:p>
        </w:tc>
        <w:tc>
          <w:tcPr>
            <w:tcW w:w="5020" w:type="dxa"/>
          </w:tcPr>
          <w:p w14:paraId="075B16F8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14:paraId="075B16F9" w14:textId="2712E8EA" w:rsidR="00415931" w:rsidRPr="00153F5D" w:rsidRDefault="00D85764" w:rsidP="00AA64D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Nustato</w:t>
            </w:r>
          </w:p>
        </w:tc>
        <w:tc>
          <w:tcPr>
            <w:tcW w:w="3553" w:type="dxa"/>
          </w:tcPr>
          <w:p w14:paraId="075B16FA" w14:textId="77777777"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6FB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FC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2238">
              <w:rPr>
                <w:sz w:val="22"/>
                <w:szCs w:val="22"/>
              </w:rPr>
            </w:r>
            <w:r w:rsidR="00D5223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FD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FE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2238">
              <w:rPr>
                <w:sz w:val="22"/>
                <w:szCs w:val="22"/>
              </w:rPr>
            </w:r>
            <w:r w:rsidR="00D5223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708" w14:textId="77777777" w:rsidTr="00415931">
        <w:trPr>
          <w:trHeight w:val="23"/>
          <w:tblHeader/>
        </w:trPr>
        <w:tc>
          <w:tcPr>
            <w:tcW w:w="565" w:type="dxa"/>
          </w:tcPr>
          <w:p w14:paraId="075B1700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14.</w:t>
            </w:r>
          </w:p>
        </w:tc>
        <w:tc>
          <w:tcPr>
            <w:tcW w:w="5020" w:type="dxa"/>
          </w:tcPr>
          <w:p w14:paraId="075B1701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14:paraId="075B1702" w14:textId="03C5938C" w:rsidR="00415931" w:rsidRPr="00603C50" w:rsidRDefault="00D85764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Aprašo 63 p.</w:t>
            </w:r>
          </w:p>
        </w:tc>
        <w:tc>
          <w:tcPr>
            <w:tcW w:w="3553" w:type="dxa"/>
          </w:tcPr>
          <w:p w14:paraId="075B1703" w14:textId="77777777" w:rsidR="00415931" w:rsidRPr="00603C50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704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05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2238">
              <w:rPr>
                <w:sz w:val="22"/>
                <w:szCs w:val="22"/>
              </w:rPr>
            </w:r>
            <w:r w:rsidR="00D5223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706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07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2238">
              <w:rPr>
                <w:sz w:val="22"/>
                <w:szCs w:val="22"/>
              </w:rPr>
            </w:r>
            <w:r w:rsidR="00D5223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711" w14:textId="77777777" w:rsidTr="00415931">
        <w:trPr>
          <w:trHeight w:val="23"/>
          <w:tblHeader/>
        </w:trPr>
        <w:tc>
          <w:tcPr>
            <w:tcW w:w="565" w:type="dxa"/>
          </w:tcPr>
          <w:p w14:paraId="075B1709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15.</w:t>
            </w:r>
          </w:p>
        </w:tc>
        <w:tc>
          <w:tcPr>
            <w:tcW w:w="5020" w:type="dxa"/>
          </w:tcPr>
          <w:p w14:paraId="075B170A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14:paraId="075B170B" w14:textId="465C0CF3" w:rsidR="00415931" w:rsidRPr="00153F5D" w:rsidRDefault="00EB7664" w:rsidP="00EB766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</w:t>
            </w:r>
            <w:r w:rsidR="009B63B2">
              <w:rPr>
                <w:sz w:val="22"/>
                <w:szCs w:val="22"/>
              </w:rPr>
              <w:t>ustato</w:t>
            </w:r>
            <w:r w:rsidR="00D85764">
              <w:rPr>
                <w:sz w:val="22"/>
                <w:szCs w:val="22"/>
              </w:rPr>
              <w:t xml:space="preserve">. </w:t>
            </w:r>
            <w:r w:rsidR="00527B4A" w:rsidRPr="004853BE">
              <w:rPr>
                <w:rStyle w:val="FontStyle21"/>
              </w:rPr>
              <w:t>Sprendimų teisėtumą tikrina Savivaldybės administracijos Centralizuota vidaus audito tarnyba</w:t>
            </w:r>
            <w:r w:rsidR="00527B4A">
              <w:rPr>
                <w:rStyle w:val="FontStyle21"/>
              </w:rPr>
              <w:t xml:space="preserve"> nuostatuose nustatyta tvarka</w:t>
            </w:r>
          </w:p>
        </w:tc>
        <w:tc>
          <w:tcPr>
            <w:tcW w:w="3553" w:type="dxa"/>
          </w:tcPr>
          <w:p w14:paraId="075B170C" w14:textId="77777777"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70D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0E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2238">
              <w:rPr>
                <w:sz w:val="22"/>
                <w:szCs w:val="22"/>
              </w:rPr>
            </w:r>
            <w:r w:rsidR="00D5223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70F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10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2238">
              <w:rPr>
                <w:sz w:val="22"/>
                <w:szCs w:val="22"/>
              </w:rPr>
            </w:r>
            <w:r w:rsidR="00D5223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71A" w14:textId="77777777" w:rsidTr="00415931">
        <w:trPr>
          <w:trHeight w:val="23"/>
          <w:tblHeader/>
        </w:trPr>
        <w:tc>
          <w:tcPr>
            <w:tcW w:w="565" w:type="dxa"/>
          </w:tcPr>
          <w:p w14:paraId="075B1712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16.</w:t>
            </w:r>
          </w:p>
        </w:tc>
        <w:tc>
          <w:tcPr>
            <w:tcW w:w="5020" w:type="dxa"/>
          </w:tcPr>
          <w:p w14:paraId="075B1713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14:paraId="075B1714" w14:textId="5469963A" w:rsidR="00415931" w:rsidRPr="00483C9B" w:rsidRDefault="00EB7664" w:rsidP="00EB766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Nenustatytos</w:t>
            </w:r>
            <w:r w:rsidR="00527B4A">
              <w:rPr>
                <w:sz w:val="22"/>
                <w:szCs w:val="22"/>
              </w:rPr>
              <w:t xml:space="preserve">. </w:t>
            </w:r>
            <w:r w:rsidR="00C817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3" w:type="dxa"/>
          </w:tcPr>
          <w:p w14:paraId="075B1715" w14:textId="77777777" w:rsidR="00415931" w:rsidRPr="00153F5D" w:rsidRDefault="0098375D" w:rsidP="0098375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716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17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2238">
              <w:rPr>
                <w:sz w:val="22"/>
                <w:szCs w:val="22"/>
              </w:rPr>
            </w:r>
            <w:r w:rsidR="00D5223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718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19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2238">
              <w:rPr>
                <w:sz w:val="22"/>
                <w:szCs w:val="22"/>
              </w:rPr>
            </w:r>
            <w:r w:rsidR="00D5223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723" w14:textId="77777777" w:rsidTr="00415931">
        <w:trPr>
          <w:trHeight w:val="23"/>
          <w:tblHeader/>
        </w:trPr>
        <w:tc>
          <w:tcPr>
            <w:tcW w:w="565" w:type="dxa"/>
          </w:tcPr>
          <w:p w14:paraId="075B171B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17.</w:t>
            </w:r>
          </w:p>
        </w:tc>
        <w:tc>
          <w:tcPr>
            <w:tcW w:w="5020" w:type="dxa"/>
          </w:tcPr>
          <w:p w14:paraId="075B171C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14:paraId="075B171D" w14:textId="2BF2052F" w:rsidR="00415931" w:rsidRPr="00153F5D" w:rsidRDefault="00527B4A" w:rsidP="00EB23C2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Nenustatyta. </w:t>
            </w:r>
          </w:p>
        </w:tc>
        <w:tc>
          <w:tcPr>
            <w:tcW w:w="3553" w:type="dxa"/>
          </w:tcPr>
          <w:p w14:paraId="075B171E" w14:textId="77777777" w:rsidR="00415931" w:rsidRPr="00153F5D" w:rsidRDefault="00415931" w:rsidP="00415931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757" w:type="dxa"/>
          </w:tcPr>
          <w:p w14:paraId="075B171F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20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2238">
              <w:rPr>
                <w:sz w:val="22"/>
                <w:szCs w:val="22"/>
              </w:rPr>
            </w:r>
            <w:r w:rsidR="00D5223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721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22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2238">
              <w:rPr>
                <w:sz w:val="22"/>
                <w:szCs w:val="22"/>
              </w:rPr>
            </w:r>
            <w:r w:rsidR="00D5223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72C" w14:textId="77777777" w:rsidTr="00415931">
        <w:trPr>
          <w:trHeight w:val="23"/>
          <w:tblHeader/>
        </w:trPr>
        <w:tc>
          <w:tcPr>
            <w:tcW w:w="565" w:type="dxa"/>
          </w:tcPr>
          <w:p w14:paraId="075B1724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18.</w:t>
            </w:r>
          </w:p>
        </w:tc>
        <w:tc>
          <w:tcPr>
            <w:tcW w:w="5020" w:type="dxa"/>
          </w:tcPr>
          <w:p w14:paraId="075B1725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14:paraId="075B1726" w14:textId="20AB2305" w:rsidR="00415931" w:rsidRPr="00153F5D" w:rsidRDefault="00527B4A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Nustatyta Aprašo 23, 33, 39, 41 punktuose </w:t>
            </w:r>
          </w:p>
        </w:tc>
        <w:tc>
          <w:tcPr>
            <w:tcW w:w="3553" w:type="dxa"/>
          </w:tcPr>
          <w:p w14:paraId="075B1727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075B1728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29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2238">
              <w:rPr>
                <w:sz w:val="22"/>
                <w:szCs w:val="22"/>
              </w:rPr>
            </w:r>
            <w:r w:rsidR="00D5223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72A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2B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2238">
              <w:rPr>
                <w:sz w:val="22"/>
                <w:szCs w:val="22"/>
              </w:rPr>
            </w:r>
            <w:r w:rsidR="00D5223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735" w14:textId="77777777" w:rsidTr="00415931">
        <w:trPr>
          <w:trHeight w:val="23"/>
          <w:tblHeader/>
        </w:trPr>
        <w:tc>
          <w:tcPr>
            <w:tcW w:w="565" w:type="dxa"/>
          </w:tcPr>
          <w:p w14:paraId="075B172D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5020" w:type="dxa"/>
          </w:tcPr>
          <w:p w14:paraId="075B172E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Kiti svarbūs kriterijai</w:t>
            </w:r>
          </w:p>
        </w:tc>
        <w:tc>
          <w:tcPr>
            <w:tcW w:w="3770" w:type="dxa"/>
          </w:tcPr>
          <w:p w14:paraId="075B172F" w14:textId="77777777" w:rsidR="00415931" w:rsidRPr="00153F5D" w:rsidRDefault="00EB23C2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483C9B">
              <w:rPr>
                <w:sz w:val="22"/>
                <w:szCs w:val="22"/>
              </w:rPr>
              <w:t>ėra</w:t>
            </w:r>
          </w:p>
        </w:tc>
        <w:tc>
          <w:tcPr>
            <w:tcW w:w="3553" w:type="dxa"/>
          </w:tcPr>
          <w:p w14:paraId="075B1730" w14:textId="77777777"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731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32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2238">
              <w:rPr>
                <w:sz w:val="22"/>
                <w:szCs w:val="22"/>
              </w:rPr>
            </w:r>
            <w:r w:rsidR="00D5223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733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34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52238">
              <w:rPr>
                <w:sz w:val="22"/>
                <w:szCs w:val="22"/>
              </w:rPr>
            </w:r>
            <w:r w:rsidR="00D5223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</w:tbl>
    <w:p w14:paraId="075B1736" w14:textId="77777777" w:rsidR="00415931" w:rsidRPr="009A585C" w:rsidRDefault="00415931" w:rsidP="00415931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4"/>
        <w:gridCol w:w="2960"/>
        <w:gridCol w:w="1875"/>
        <w:gridCol w:w="3027"/>
      </w:tblGrid>
      <w:tr w:rsidR="00415931" w:rsidRPr="0049171D" w14:paraId="075B173C" w14:textId="77777777" w:rsidTr="00415931">
        <w:trPr>
          <w:trHeight w:val="25"/>
        </w:trPr>
        <w:tc>
          <w:tcPr>
            <w:tcW w:w="1884" w:type="dxa"/>
          </w:tcPr>
          <w:p w14:paraId="075B1737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projekto tiesioginis rengėjas: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B1738" w14:textId="124C71BB" w:rsidR="006E4163" w:rsidRDefault="00527B4A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Švietimo, kultūros ir sporto</w:t>
            </w:r>
            <w:r w:rsidR="00E76394">
              <w:rPr>
                <w:sz w:val="20"/>
              </w:rPr>
              <w:t xml:space="preserve"> skyriaus </w:t>
            </w:r>
            <w:r w:rsidR="009C7AA2">
              <w:rPr>
                <w:sz w:val="20"/>
              </w:rPr>
              <w:t>vyriausioji specialistė</w:t>
            </w:r>
          </w:p>
          <w:p w14:paraId="075B1739" w14:textId="40B0F042" w:rsidR="00A16E38" w:rsidRPr="0049171D" w:rsidRDefault="00527B4A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Jolita </w:t>
            </w:r>
            <w:proofErr w:type="spellStart"/>
            <w:r>
              <w:rPr>
                <w:sz w:val="20"/>
              </w:rPr>
              <w:t>Geidanienė</w:t>
            </w:r>
            <w:proofErr w:type="spellEnd"/>
          </w:p>
        </w:tc>
        <w:tc>
          <w:tcPr>
            <w:tcW w:w="1875" w:type="dxa"/>
          </w:tcPr>
          <w:p w14:paraId="075B173A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               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B173B" w14:textId="77777777"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Juridinio ir personalo skyriaus vyriausioji specialistė Daiva Jasiūnienė</w:t>
            </w:r>
          </w:p>
        </w:tc>
      </w:tr>
      <w:tr w:rsidR="00415931" w:rsidRPr="0049171D" w14:paraId="075B1742" w14:textId="77777777" w:rsidTr="00415931">
        <w:trPr>
          <w:trHeight w:val="25"/>
        </w:trPr>
        <w:tc>
          <w:tcPr>
            <w:tcW w:w="1884" w:type="dxa"/>
          </w:tcPr>
          <w:p w14:paraId="075B173D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B173E" w14:textId="77777777"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14:paraId="075B173F" w14:textId="77777777"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75" w:type="dxa"/>
          </w:tcPr>
          <w:p w14:paraId="075B1740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B1741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</w:tc>
      </w:tr>
      <w:tr w:rsidR="00415931" w:rsidRPr="0049171D" w14:paraId="075B1748" w14:textId="77777777" w:rsidTr="00415931">
        <w:trPr>
          <w:trHeight w:val="25"/>
        </w:trPr>
        <w:tc>
          <w:tcPr>
            <w:tcW w:w="1884" w:type="dxa"/>
          </w:tcPr>
          <w:p w14:paraId="075B1743" w14:textId="77777777"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14:paraId="075B1744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14:paraId="075B1745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  <w:tc>
          <w:tcPr>
            <w:tcW w:w="1875" w:type="dxa"/>
          </w:tcPr>
          <w:p w14:paraId="075B1746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5B1747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</w:tr>
    </w:tbl>
    <w:p w14:paraId="075B1749" w14:textId="77777777" w:rsidR="00A84E2D" w:rsidRDefault="00A84E2D" w:rsidP="00353120"/>
    <w:sectPr w:rsidR="00A84E2D" w:rsidSect="00415931">
      <w:headerReference w:type="default" r:id="rId7"/>
      <w:footerReference w:type="default" r:id="rId8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366C3" w14:textId="77777777" w:rsidR="00D52238" w:rsidRDefault="00D52238">
      <w:r>
        <w:separator/>
      </w:r>
    </w:p>
  </w:endnote>
  <w:endnote w:type="continuationSeparator" w:id="0">
    <w:p w14:paraId="57FE937B" w14:textId="77777777" w:rsidR="00D52238" w:rsidRDefault="00D5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B1752" w14:textId="77777777" w:rsidR="00EB23C2" w:rsidRDefault="00EB23C2" w:rsidP="00415931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F55D0" w14:textId="77777777" w:rsidR="00D52238" w:rsidRDefault="00D52238">
      <w:r>
        <w:separator/>
      </w:r>
    </w:p>
  </w:footnote>
  <w:footnote w:type="continuationSeparator" w:id="0">
    <w:p w14:paraId="42206FDA" w14:textId="77777777" w:rsidR="00D52238" w:rsidRDefault="00D52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B1750" w14:textId="77777777" w:rsidR="00EB23C2" w:rsidRDefault="00305049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49B3">
      <w:rPr>
        <w:noProof/>
      </w:rPr>
      <w:t>4</w:t>
    </w:r>
    <w:r>
      <w:rPr>
        <w:noProof/>
      </w:rPr>
      <w:fldChar w:fldCharType="end"/>
    </w:r>
  </w:p>
  <w:p w14:paraId="075B1751" w14:textId="77777777" w:rsidR="00EB23C2" w:rsidRPr="002E3169" w:rsidRDefault="00EB23C2" w:rsidP="004159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1"/>
    <w:rsid w:val="00033863"/>
    <w:rsid w:val="000616D9"/>
    <w:rsid w:val="000672B8"/>
    <w:rsid w:val="000805B9"/>
    <w:rsid w:val="000E48E8"/>
    <w:rsid w:val="000F20BD"/>
    <w:rsid w:val="00133D28"/>
    <w:rsid w:val="001C79C2"/>
    <w:rsid w:val="001D320D"/>
    <w:rsid w:val="00280A64"/>
    <w:rsid w:val="00305049"/>
    <w:rsid w:val="00315F0A"/>
    <w:rsid w:val="00324B53"/>
    <w:rsid w:val="0034130C"/>
    <w:rsid w:val="00353120"/>
    <w:rsid w:val="003E3D37"/>
    <w:rsid w:val="003E77DF"/>
    <w:rsid w:val="003F4191"/>
    <w:rsid w:val="00415931"/>
    <w:rsid w:val="00445D59"/>
    <w:rsid w:val="00457835"/>
    <w:rsid w:val="004806FA"/>
    <w:rsid w:val="00483C9B"/>
    <w:rsid w:val="004853BE"/>
    <w:rsid w:val="004B272C"/>
    <w:rsid w:val="005018B3"/>
    <w:rsid w:val="00527B4A"/>
    <w:rsid w:val="005A104A"/>
    <w:rsid w:val="00603C50"/>
    <w:rsid w:val="00605C77"/>
    <w:rsid w:val="00610783"/>
    <w:rsid w:val="00611BF1"/>
    <w:rsid w:val="0069129B"/>
    <w:rsid w:val="006A2761"/>
    <w:rsid w:val="006E4163"/>
    <w:rsid w:val="006E49B3"/>
    <w:rsid w:val="006F2BF2"/>
    <w:rsid w:val="00781E4E"/>
    <w:rsid w:val="007C6CF1"/>
    <w:rsid w:val="00826C0A"/>
    <w:rsid w:val="00833C2F"/>
    <w:rsid w:val="008660F4"/>
    <w:rsid w:val="008E0082"/>
    <w:rsid w:val="00912B96"/>
    <w:rsid w:val="00916F3E"/>
    <w:rsid w:val="0095368C"/>
    <w:rsid w:val="0098375D"/>
    <w:rsid w:val="009B63B2"/>
    <w:rsid w:val="009C7AA2"/>
    <w:rsid w:val="00A02332"/>
    <w:rsid w:val="00A16E38"/>
    <w:rsid w:val="00A756D0"/>
    <w:rsid w:val="00A84E2D"/>
    <w:rsid w:val="00A87F37"/>
    <w:rsid w:val="00AA64D4"/>
    <w:rsid w:val="00AC2258"/>
    <w:rsid w:val="00AD5B92"/>
    <w:rsid w:val="00B04DD8"/>
    <w:rsid w:val="00B21393"/>
    <w:rsid w:val="00B34D74"/>
    <w:rsid w:val="00B3602B"/>
    <w:rsid w:val="00B50593"/>
    <w:rsid w:val="00B94293"/>
    <w:rsid w:val="00B9708B"/>
    <w:rsid w:val="00BA34EC"/>
    <w:rsid w:val="00C06753"/>
    <w:rsid w:val="00C07CD7"/>
    <w:rsid w:val="00C65BC5"/>
    <w:rsid w:val="00C77E6A"/>
    <w:rsid w:val="00C81773"/>
    <w:rsid w:val="00CC26E1"/>
    <w:rsid w:val="00CD1F94"/>
    <w:rsid w:val="00D2546B"/>
    <w:rsid w:val="00D40DFE"/>
    <w:rsid w:val="00D52238"/>
    <w:rsid w:val="00D85764"/>
    <w:rsid w:val="00D9401D"/>
    <w:rsid w:val="00DB0E90"/>
    <w:rsid w:val="00E26701"/>
    <w:rsid w:val="00E63670"/>
    <w:rsid w:val="00E76394"/>
    <w:rsid w:val="00E866D7"/>
    <w:rsid w:val="00EB23C2"/>
    <w:rsid w:val="00EB7664"/>
    <w:rsid w:val="00EC2396"/>
    <w:rsid w:val="00EE0149"/>
    <w:rsid w:val="00F12858"/>
    <w:rsid w:val="00F35BD6"/>
    <w:rsid w:val="00F65D55"/>
    <w:rsid w:val="00F971FD"/>
    <w:rsid w:val="00FA159F"/>
    <w:rsid w:val="00FA51C3"/>
    <w:rsid w:val="00FE0AC0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B1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  <w:style w:type="character" w:customStyle="1" w:styleId="FontStyle21">
    <w:name w:val="Font Style21"/>
    <w:basedOn w:val="Numatytasispastraiposriftas"/>
    <w:uiPriority w:val="99"/>
    <w:rsid w:val="004853B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  <w:style w:type="character" w:customStyle="1" w:styleId="FontStyle21">
    <w:name w:val="Font Style21"/>
    <w:basedOn w:val="Numatytasispastraiposriftas"/>
    <w:uiPriority w:val="99"/>
    <w:rsid w:val="004853B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4369</Words>
  <Characters>2491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creator>Korupcija</dc:creator>
  <cp:lastModifiedBy>Daiva Jasiūnienė</cp:lastModifiedBy>
  <cp:revision>2</cp:revision>
  <cp:lastPrinted>2019-09-25T09:02:00Z</cp:lastPrinted>
  <dcterms:created xsi:type="dcterms:W3CDTF">2021-09-30T11:43:00Z</dcterms:created>
  <dcterms:modified xsi:type="dcterms:W3CDTF">2021-09-30T11:43:00Z</dcterms:modified>
</cp:coreProperties>
</file>