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63" w:rsidRPr="006E4163" w:rsidRDefault="006E4163" w:rsidP="00415931">
      <w:pPr>
        <w:jc w:val="center"/>
        <w:rPr>
          <w:b/>
          <w:caps/>
          <w:szCs w:val="24"/>
        </w:rPr>
      </w:pPr>
      <w:bookmarkStart w:id="0" w:name="_GoBack"/>
      <w:bookmarkEnd w:id="0"/>
      <w:r w:rsidRPr="006E4163">
        <w:rPr>
          <w:b/>
          <w:caps/>
          <w:szCs w:val="24"/>
        </w:rPr>
        <w:t>Rokiškio rajono savivaldybės</w:t>
      </w:r>
    </w:p>
    <w:p w:rsidR="00415931" w:rsidRDefault="00415931" w:rsidP="00415931">
      <w:pPr>
        <w:jc w:val="center"/>
        <w:rPr>
          <w:b/>
          <w:szCs w:val="24"/>
        </w:rPr>
      </w:pPr>
      <w:r>
        <w:rPr>
          <w:b/>
          <w:szCs w:val="24"/>
        </w:rPr>
        <w:t>TEISĖS AKTŲ PROJEKTŲ ANTIKORUPCINIO VERTINIMO PAŽYMA</w:t>
      </w:r>
    </w:p>
    <w:p w:rsidR="00415931" w:rsidRDefault="00415931" w:rsidP="00415931">
      <w:pPr>
        <w:jc w:val="center"/>
        <w:rPr>
          <w:b/>
          <w:szCs w:val="24"/>
        </w:rPr>
      </w:pPr>
    </w:p>
    <w:p w:rsidR="00CD1F94" w:rsidRDefault="00415931" w:rsidP="00CD1F94">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0805B9">
        <w:rPr>
          <w:b/>
          <w:bCs/>
          <w:caps/>
        </w:rPr>
        <w:t>TARYBOS SPRENDIMO „</w:t>
      </w:r>
      <w:r w:rsidR="002403DD" w:rsidRPr="00600EAA">
        <w:rPr>
          <w:b/>
          <w:szCs w:val="24"/>
        </w:rPr>
        <w:t>DĖL ROKIŠKIO RAJONO SAVIVALDYBĖS BŪSTO IR SOCIALINIO BŪSTO NUOMOS BEI BŪSTO NUOMOS AR IŠPERKAMOSIOS BŪSTO NUOMOS MOKESČIO DALIES KOMPENSACIJŲ APSKAIČIAVIMO, MOKĖJIMO IR PERMOKĖTŲ KOMPENSACIJŲ GRĄŽINIMO TVARKOS APRAŠO PATVIRTINIMO</w:t>
      </w:r>
      <w:r w:rsidR="000805B9">
        <w:rPr>
          <w:b/>
          <w:bCs/>
          <w:caps/>
        </w:rPr>
        <w:t>“</w:t>
      </w:r>
      <w:r w:rsidR="00CD1F94">
        <w:rPr>
          <w:b/>
          <w:bCs/>
          <w:caps/>
        </w:rPr>
        <w:t xml:space="preserve">  projekto</w:t>
      </w:r>
    </w:p>
    <w:p w:rsidR="00415931" w:rsidRPr="00195411"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rsidR="00415931" w:rsidRDefault="00415931" w:rsidP="00415931">
      <w:pPr>
        <w:jc w:val="center"/>
        <w:rPr>
          <w:sz w:val="18"/>
          <w:szCs w:val="18"/>
        </w:rPr>
      </w:pPr>
      <w:r>
        <w:rPr>
          <w:sz w:val="18"/>
          <w:szCs w:val="18"/>
        </w:rPr>
        <w:t>(Teisės akto projekto pavadinimas)</w:t>
      </w:r>
    </w:p>
    <w:p w:rsidR="00415931" w:rsidRPr="00CD1F94" w:rsidRDefault="002403DD" w:rsidP="00415931">
      <w:pPr>
        <w:jc w:val="center"/>
        <w:rPr>
          <w:b/>
          <w:szCs w:val="24"/>
        </w:rPr>
      </w:pPr>
      <w:r>
        <w:rPr>
          <w:b/>
          <w:szCs w:val="24"/>
        </w:rPr>
        <w:t>VIOLETA BIELIŪNAITĖ-VANAGIENĖ</w:t>
      </w:r>
    </w:p>
    <w:p w:rsidR="00415931" w:rsidRPr="009A585C"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rsidR="00415931" w:rsidRDefault="00415931" w:rsidP="00415931">
      <w:pPr>
        <w:jc w:val="center"/>
        <w:rPr>
          <w:sz w:val="18"/>
          <w:szCs w:val="18"/>
        </w:rPr>
      </w:pPr>
      <w:r>
        <w:rPr>
          <w:sz w:val="18"/>
          <w:szCs w:val="18"/>
        </w:rPr>
        <w:t>(Teisės akto projekto tiesioginis rengėjas)</w:t>
      </w:r>
    </w:p>
    <w:p w:rsidR="00415931" w:rsidRDefault="00415931" w:rsidP="00415931">
      <w:pPr>
        <w:pStyle w:val="Pagrindiniotekstotrauka"/>
        <w:tabs>
          <w:tab w:val="left" w:pos="1247"/>
        </w:tabs>
        <w:ind w:firstLine="0"/>
        <w:jc w:val="center"/>
        <w:rPr>
          <w:szCs w:val="24"/>
        </w:rPr>
      </w:pPr>
    </w:p>
    <w:p w:rsidR="00415931" w:rsidRDefault="00415931" w:rsidP="00415931">
      <w:pPr>
        <w:pStyle w:val="Pagrindiniotekstotrauka"/>
        <w:tabs>
          <w:tab w:val="left" w:pos="1247"/>
        </w:tabs>
        <w:ind w:firstLine="0"/>
        <w:jc w:val="center"/>
        <w:rPr>
          <w:szCs w:val="24"/>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153F5D" w:rsidTr="00415931">
        <w:trPr>
          <w:trHeight w:val="23"/>
          <w:tblHeader/>
        </w:trPr>
        <w:tc>
          <w:tcPr>
            <w:tcW w:w="565" w:type="dxa"/>
            <w:vAlign w:val="center"/>
          </w:tcPr>
          <w:p w:rsidR="00415931" w:rsidRPr="00153F5D" w:rsidRDefault="00415931" w:rsidP="00415931">
            <w:pPr>
              <w:ind w:firstLine="0"/>
              <w:jc w:val="center"/>
              <w:rPr>
                <w:sz w:val="22"/>
                <w:szCs w:val="22"/>
              </w:rPr>
            </w:pPr>
            <w:r w:rsidRPr="00153F5D">
              <w:rPr>
                <w:sz w:val="22"/>
                <w:szCs w:val="22"/>
              </w:rPr>
              <w:t>Eil. Nr.</w:t>
            </w:r>
          </w:p>
        </w:tc>
        <w:tc>
          <w:tcPr>
            <w:tcW w:w="5020" w:type="dxa"/>
            <w:vAlign w:val="center"/>
          </w:tcPr>
          <w:p w:rsidR="00415931" w:rsidRPr="00153F5D" w:rsidRDefault="00415931" w:rsidP="00415931">
            <w:pPr>
              <w:ind w:firstLine="0"/>
              <w:jc w:val="center"/>
              <w:rPr>
                <w:sz w:val="22"/>
                <w:szCs w:val="22"/>
              </w:rPr>
            </w:pPr>
            <w:r w:rsidRPr="00153F5D">
              <w:rPr>
                <w:sz w:val="22"/>
                <w:szCs w:val="22"/>
              </w:rPr>
              <w:t>Kriterijus</w:t>
            </w:r>
          </w:p>
        </w:tc>
        <w:tc>
          <w:tcPr>
            <w:tcW w:w="3770" w:type="dxa"/>
            <w:vAlign w:val="center"/>
          </w:tcPr>
          <w:p w:rsidR="00415931" w:rsidRPr="00153F5D" w:rsidRDefault="00415931" w:rsidP="00415931">
            <w:pPr>
              <w:ind w:firstLine="0"/>
              <w:jc w:val="center"/>
              <w:rPr>
                <w:b/>
                <w:sz w:val="22"/>
                <w:szCs w:val="22"/>
              </w:rPr>
            </w:pPr>
            <w:r w:rsidRPr="00153F5D">
              <w:rPr>
                <w:sz w:val="22"/>
                <w:szCs w:val="22"/>
              </w:rPr>
              <w:t>Pagrindimas (nurodomos konkrečios teisės ak</w:t>
            </w:r>
            <w:r>
              <w:rPr>
                <w:sz w:val="22"/>
                <w:szCs w:val="22"/>
              </w:rPr>
              <w:t xml:space="preserve">to projekto ar kitų teisės aktų </w:t>
            </w:r>
            <w:r w:rsidRPr="00153F5D">
              <w:rPr>
                <w:sz w:val="22"/>
                <w:szCs w:val="22"/>
              </w:rPr>
              <w:t>nuos</w:t>
            </w:r>
            <w:r>
              <w:rPr>
                <w:sz w:val="22"/>
                <w:szCs w:val="22"/>
              </w:rPr>
              <w:t xml:space="preserve">tatos, pagrindžiančios teigiamą </w:t>
            </w:r>
            <w:r w:rsidRPr="00153F5D">
              <w:rPr>
                <w:sz w:val="22"/>
                <w:szCs w:val="22"/>
              </w:rPr>
              <w:t xml:space="preserve">atsakymą, arba pateikiamos </w:t>
            </w:r>
            <w:r>
              <w:rPr>
                <w:sz w:val="22"/>
                <w:szCs w:val="22"/>
              </w:rPr>
              <w:t>antikorup</w:t>
            </w:r>
            <w:r w:rsidRPr="00153F5D">
              <w:rPr>
                <w:sz w:val="22"/>
                <w:szCs w:val="22"/>
              </w:rPr>
              <w:t xml:space="preserve">cinį teisės akto projekto </w:t>
            </w:r>
            <w:r>
              <w:rPr>
                <w:sz w:val="22"/>
                <w:szCs w:val="22"/>
              </w:rPr>
              <w:t xml:space="preserve">vertinimą </w:t>
            </w:r>
            <w:r w:rsidRPr="00153F5D">
              <w:rPr>
                <w:sz w:val="22"/>
                <w:szCs w:val="22"/>
              </w:rPr>
              <w:t>atliekančio specialisto pastabos ir pasiūlymai dėl korupcijos rizikos mažinimo)</w:t>
            </w:r>
          </w:p>
        </w:tc>
        <w:tc>
          <w:tcPr>
            <w:tcW w:w="3553" w:type="dxa"/>
            <w:vAlign w:val="center"/>
          </w:tcPr>
          <w:p w:rsidR="00415931" w:rsidRPr="00153F5D" w:rsidRDefault="00415931" w:rsidP="00415931">
            <w:pPr>
              <w:ind w:firstLine="0"/>
              <w:jc w:val="center"/>
              <w:rPr>
                <w:sz w:val="22"/>
                <w:szCs w:val="22"/>
              </w:rPr>
            </w:pPr>
            <w:r w:rsidRPr="00153F5D">
              <w:rPr>
                <w:sz w:val="22"/>
                <w:szCs w:val="22"/>
              </w:rPr>
              <w:t>Teisės akto projekto pakeitimas, mažinantis korupcijos riziką, arba teisės akto projekto tiesioginio rengėjo argumentai, kodėl neatsižvelgta į pastabą</w:t>
            </w:r>
          </w:p>
        </w:tc>
        <w:tc>
          <w:tcPr>
            <w:tcW w:w="2757" w:type="dxa"/>
            <w:vAlign w:val="center"/>
          </w:tcPr>
          <w:p w:rsidR="00415931" w:rsidRPr="00153F5D" w:rsidRDefault="00415931" w:rsidP="00415931">
            <w:pPr>
              <w:ind w:firstLine="0"/>
              <w:jc w:val="center"/>
              <w:rPr>
                <w:sz w:val="22"/>
                <w:szCs w:val="22"/>
              </w:rPr>
            </w:pPr>
            <w:r w:rsidRPr="00153F5D">
              <w:rPr>
                <w:sz w:val="22"/>
                <w:szCs w:val="22"/>
              </w:rPr>
              <w:t>Išvada dėl teisės akto projekto pakeitimų arba argumentų, kodėl neatsižvelgta į pastabą</w:t>
            </w:r>
          </w:p>
        </w:tc>
      </w:tr>
      <w:tr w:rsidR="00415931" w:rsidRPr="00153F5D" w:rsidTr="00415931">
        <w:trPr>
          <w:trHeight w:val="23"/>
          <w:tblHeader/>
        </w:trPr>
        <w:tc>
          <w:tcPr>
            <w:tcW w:w="565" w:type="dxa"/>
          </w:tcPr>
          <w:p w:rsidR="00415931" w:rsidRPr="00153F5D" w:rsidRDefault="00415931" w:rsidP="00415931">
            <w:pPr>
              <w:ind w:firstLine="0"/>
              <w:jc w:val="center"/>
              <w:rPr>
                <w:i/>
                <w:sz w:val="22"/>
                <w:szCs w:val="22"/>
              </w:rPr>
            </w:pPr>
          </w:p>
        </w:tc>
        <w:tc>
          <w:tcPr>
            <w:tcW w:w="5020" w:type="dxa"/>
          </w:tcPr>
          <w:p w:rsidR="00415931" w:rsidRPr="00153F5D" w:rsidRDefault="00415931" w:rsidP="00415931">
            <w:pPr>
              <w:ind w:firstLine="0"/>
              <w:rPr>
                <w:i/>
                <w:sz w:val="22"/>
                <w:szCs w:val="22"/>
              </w:rPr>
            </w:pPr>
          </w:p>
        </w:tc>
        <w:tc>
          <w:tcPr>
            <w:tcW w:w="3770" w:type="dxa"/>
            <w:vAlign w:val="center"/>
          </w:tcPr>
          <w:p w:rsidR="00415931" w:rsidRPr="00153F5D" w:rsidRDefault="00415931" w:rsidP="00415931">
            <w:pPr>
              <w:ind w:firstLine="0"/>
              <w:jc w:val="center"/>
              <w:rPr>
                <w:b/>
                <w:i/>
                <w:sz w:val="22"/>
                <w:szCs w:val="22"/>
              </w:rPr>
            </w:pPr>
            <w:r w:rsidRPr="00153F5D">
              <w:rPr>
                <w:b/>
                <w:i/>
                <w:sz w:val="22"/>
                <w:szCs w:val="22"/>
              </w:rPr>
              <w:t>pildo teisės akto projekto vertintojas</w:t>
            </w:r>
          </w:p>
        </w:tc>
        <w:tc>
          <w:tcPr>
            <w:tcW w:w="3553" w:type="dxa"/>
            <w:vAlign w:val="center"/>
          </w:tcPr>
          <w:p w:rsidR="00415931" w:rsidRPr="00153F5D" w:rsidRDefault="00415931" w:rsidP="00415931">
            <w:pPr>
              <w:ind w:firstLine="0"/>
              <w:jc w:val="center"/>
              <w:rPr>
                <w:b/>
                <w:i/>
                <w:sz w:val="22"/>
                <w:szCs w:val="22"/>
              </w:rPr>
            </w:pPr>
            <w:r w:rsidRPr="00153F5D">
              <w:rPr>
                <w:b/>
                <w:i/>
                <w:sz w:val="22"/>
                <w:szCs w:val="22"/>
              </w:rPr>
              <w:t>pildo teisės akto projekto tiesioginis rengėjas</w:t>
            </w:r>
          </w:p>
        </w:tc>
        <w:tc>
          <w:tcPr>
            <w:tcW w:w="2757" w:type="dxa"/>
            <w:vAlign w:val="center"/>
          </w:tcPr>
          <w:p w:rsidR="00415931" w:rsidRPr="00153F5D" w:rsidRDefault="00415931" w:rsidP="00415931">
            <w:pPr>
              <w:ind w:firstLine="0"/>
              <w:jc w:val="center"/>
              <w:rPr>
                <w:b/>
                <w:i/>
                <w:sz w:val="22"/>
                <w:szCs w:val="22"/>
              </w:rPr>
            </w:pPr>
            <w:r w:rsidRPr="00153F5D">
              <w:rPr>
                <w:b/>
                <w:i/>
                <w:sz w:val="22"/>
                <w:szCs w:val="22"/>
              </w:rPr>
              <w:t>pildo teisės akto projekto vertintojas</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w:t>
            </w:r>
          </w:p>
        </w:tc>
        <w:tc>
          <w:tcPr>
            <w:tcW w:w="5020" w:type="dxa"/>
          </w:tcPr>
          <w:p w:rsidR="00415931" w:rsidRPr="005F08F6" w:rsidRDefault="00415931" w:rsidP="00415931">
            <w:pPr>
              <w:ind w:firstLine="0"/>
              <w:jc w:val="left"/>
              <w:rPr>
                <w:sz w:val="20"/>
              </w:rPr>
            </w:pPr>
            <w:r w:rsidRPr="005F08F6">
              <w:rPr>
                <w:sz w:val="20"/>
              </w:rPr>
              <w:t>Teisės akto projektas nesudaro išskirtinių ar nevienodų sąlygų subjektams, su kuriais susijęs teisės akto įgyvendinimas</w:t>
            </w:r>
          </w:p>
        </w:tc>
        <w:tc>
          <w:tcPr>
            <w:tcW w:w="3770" w:type="dxa"/>
          </w:tcPr>
          <w:p w:rsidR="00415931" w:rsidRPr="005F08F6" w:rsidRDefault="005F08F6" w:rsidP="00415931">
            <w:pPr>
              <w:ind w:firstLine="0"/>
              <w:rPr>
                <w:sz w:val="20"/>
              </w:rPr>
            </w:pPr>
            <w:r w:rsidRPr="005F08F6">
              <w:rPr>
                <w:sz w:val="20"/>
              </w:rPr>
              <w:t>Teisės akte nustatytos vienodos sąlygos visiems prašymus teikiantiems subjektams</w:t>
            </w:r>
          </w:p>
        </w:tc>
        <w:tc>
          <w:tcPr>
            <w:tcW w:w="3553" w:type="dxa"/>
          </w:tcPr>
          <w:p w:rsidR="00415931" w:rsidRPr="005F08F6" w:rsidRDefault="00611BF1" w:rsidP="00611BF1">
            <w:pPr>
              <w:ind w:firstLine="0"/>
              <w:jc w:val="center"/>
              <w:rPr>
                <w:b/>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bookmarkStart w:id="1" w:name="Check2"/>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bookmarkEnd w:id="1"/>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bookmarkStart w:id="2" w:name="Check1"/>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bookmarkEnd w:id="2"/>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2.</w:t>
            </w:r>
          </w:p>
        </w:tc>
        <w:tc>
          <w:tcPr>
            <w:tcW w:w="5020" w:type="dxa"/>
          </w:tcPr>
          <w:p w:rsidR="00415931" w:rsidRPr="005F08F6" w:rsidRDefault="00415931" w:rsidP="00415931">
            <w:pPr>
              <w:ind w:firstLine="0"/>
              <w:jc w:val="left"/>
              <w:rPr>
                <w:sz w:val="20"/>
              </w:rPr>
            </w:pPr>
            <w:r w:rsidRPr="005F08F6">
              <w:rPr>
                <w:sz w:val="20"/>
              </w:rPr>
              <w:t>Teisės akto projekte nėra spragų ar nuostatų, leisiančių dviprasmiškai aiškinti ir taikyti teisės aktą</w:t>
            </w:r>
          </w:p>
        </w:tc>
        <w:tc>
          <w:tcPr>
            <w:tcW w:w="3770" w:type="dxa"/>
          </w:tcPr>
          <w:p w:rsidR="00415931" w:rsidRPr="005F08F6" w:rsidRDefault="00611BF1" w:rsidP="00415931">
            <w:pPr>
              <w:ind w:firstLine="0"/>
              <w:rPr>
                <w:sz w:val="20"/>
              </w:rPr>
            </w:pPr>
            <w:r w:rsidRPr="005F08F6">
              <w:rPr>
                <w:sz w:val="20"/>
              </w:rPr>
              <w:t>Nėra</w:t>
            </w:r>
          </w:p>
        </w:tc>
        <w:tc>
          <w:tcPr>
            <w:tcW w:w="3553" w:type="dxa"/>
          </w:tcPr>
          <w:p w:rsidR="00415931" w:rsidRPr="005F08F6" w:rsidRDefault="00611BF1" w:rsidP="00611BF1">
            <w:pPr>
              <w:ind w:firstLine="0"/>
              <w:jc w:val="center"/>
              <w:rPr>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3.</w:t>
            </w:r>
          </w:p>
        </w:tc>
        <w:tc>
          <w:tcPr>
            <w:tcW w:w="5020" w:type="dxa"/>
          </w:tcPr>
          <w:p w:rsidR="00415931" w:rsidRPr="005F08F6" w:rsidRDefault="00415931" w:rsidP="00415931">
            <w:pPr>
              <w:ind w:firstLine="0"/>
              <w:jc w:val="left"/>
              <w:rPr>
                <w:sz w:val="20"/>
              </w:rPr>
            </w:pPr>
            <w:r w:rsidRPr="005F08F6">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rsidR="00415931" w:rsidRPr="005F08F6" w:rsidRDefault="0039243B" w:rsidP="0039243B">
            <w:pPr>
              <w:ind w:firstLine="0"/>
              <w:rPr>
                <w:sz w:val="20"/>
              </w:rPr>
            </w:pPr>
            <w:r>
              <w:rPr>
                <w:sz w:val="20"/>
              </w:rPr>
              <w:t>Aprašas</w:t>
            </w:r>
            <w:r w:rsidR="0099319A" w:rsidRPr="005F08F6">
              <w:rPr>
                <w:sz w:val="20"/>
              </w:rPr>
              <w:t xml:space="preserve"> </w:t>
            </w:r>
            <w:r w:rsidR="00D0252B">
              <w:rPr>
                <w:sz w:val="20"/>
              </w:rPr>
              <w:t>n</w:t>
            </w:r>
            <w:r>
              <w:rPr>
                <w:sz w:val="20"/>
              </w:rPr>
              <w:t>ustato</w:t>
            </w:r>
            <w:r w:rsidR="0099319A" w:rsidRPr="005F08F6">
              <w:rPr>
                <w:sz w:val="20"/>
              </w:rPr>
              <w:t xml:space="preserve">, kad </w:t>
            </w:r>
            <w:r w:rsidR="00D0252B">
              <w:rPr>
                <w:sz w:val="20"/>
              </w:rPr>
              <w:t xml:space="preserve">sprendimus dėl </w:t>
            </w:r>
            <w:r>
              <w:rPr>
                <w:sz w:val="20"/>
              </w:rPr>
              <w:t>būsto nuomos</w:t>
            </w:r>
            <w:r w:rsidR="00D0252B">
              <w:rPr>
                <w:sz w:val="20"/>
              </w:rPr>
              <w:t xml:space="preserve"> priima </w:t>
            </w:r>
            <w:r>
              <w:rPr>
                <w:sz w:val="20"/>
              </w:rPr>
              <w:t>Savivaldybės administracijos direktorius</w:t>
            </w:r>
            <w:r w:rsidR="00D0252B">
              <w:rPr>
                <w:sz w:val="20"/>
              </w:rPr>
              <w:t>,</w:t>
            </w:r>
            <w:r>
              <w:rPr>
                <w:sz w:val="20"/>
              </w:rPr>
              <w:t xml:space="preserve"> atsižvelgdamas į Savivaldybės ir socialinio būsto nuomos bei priežiūros komisijos siūlymus.</w:t>
            </w:r>
            <w:r w:rsidR="00D0252B">
              <w:rPr>
                <w:sz w:val="20"/>
              </w:rPr>
              <w:t xml:space="preserve"> </w:t>
            </w:r>
            <w:r>
              <w:rPr>
                <w:rFonts w:eastAsia="Times New Roman"/>
                <w:color w:val="000000"/>
                <w:sz w:val="20"/>
                <w:lang w:eastAsia="lt-LT"/>
              </w:rPr>
              <w:t>Centralizuota vidaus audito tarnyba</w:t>
            </w:r>
            <w:r w:rsidR="00D0252B" w:rsidRPr="00D0252B">
              <w:rPr>
                <w:rFonts w:eastAsia="Times New Roman"/>
                <w:color w:val="000000"/>
                <w:sz w:val="20"/>
                <w:lang w:eastAsia="lt-LT"/>
              </w:rPr>
              <w:t xml:space="preserve"> ir savivaldybės kontrolierius kontroliuoja, kaip taikomos </w:t>
            </w:r>
            <w:r>
              <w:rPr>
                <w:rFonts w:eastAsia="Times New Roman"/>
                <w:color w:val="000000"/>
                <w:sz w:val="20"/>
                <w:lang w:eastAsia="lt-LT"/>
              </w:rPr>
              <w:t>įstatymų</w:t>
            </w:r>
            <w:r w:rsidR="00D0252B" w:rsidRPr="00D0252B">
              <w:rPr>
                <w:rFonts w:eastAsia="Times New Roman"/>
                <w:color w:val="000000"/>
                <w:sz w:val="20"/>
                <w:lang w:eastAsia="lt-LT"/>
              </w:rPr>
              <w:t xml:space="preserve"> ir kitų teisės aktų nuostatos</w:t>
            </w:r>
            <w:r w:rsidR="00D0252B">
              <w:rPr>
                <w:rFonts w:eastAsia="Times New Roman"/>
                <w:color w:val="000000"/>
                <w:sz w:val="20"/>
                <w:lang w:eastAsia="lt-LT"/>
              </w:rPr>
              <w:t>.</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4.</w:t>
            </w:r>
          </w:p>
        </w:tc>
        <w:tc>
          <w:tcPr>
            <w:tcW w:w="5020" w:type="dxa"/>
          </w:tcPr>
          <w:p w:rsidR="00415931" w:rsidRPr="005F08F6" w:rsidRDefault="00415931" w:rsidP="00415931">
            <w:pPr>
              <w:ind w:firstLine="0"/>
              <w:jc w:val="left"/>
              <w:rPr>
                <w:sz w:val="20"/>
              </w:rPr>
            </w:pPr>
            <w:r w:rsidRPr="005F08F6">
              <w:rPr>
                <w:sz w:val="20"/>
              </w:rPr>
              <w:t>Teisės akto projekte nustatyti subjekto įgaliojimai (teisės) atitinka subjekto atliekamas funkcijas (pareigas)</w:t>
            </w:r>
          </w:p>
        </w:tc>
        <w:tc>
          <w:tcPr>
            <w:tcW w:w="3770" w:type="dxa"/>
          </w:tcPr>
          <w:p w:rsidR="00415931" w:rsidRPr="005F08F6" w:rsidRDefault="005F08F6" w:rsidP="00415931">
            <w:pPr>
              <w:ind w:firstLine="0"/>
              <w:rPr>
                <w:sz w:val="20"/>
              </w:rPr>
            </w:pPr>
            <w:r>
              <w:rPr>
                <w:sz w:val="20"/>
              </w:rPr>
              <w:t>Atitinka</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lastRenderedPageBreak/>
              <w:t>5.</w:t>
            </w:r>
          </w:p>
        </w:tc>
        <w:tc>
          <w:tcPr>
            <w:tcW w:w="5020" w:type="dxa"/>
          </w:tcPr>
          <w:p w:rsidR="00415931" w:rsidRPr="005F08F6" w:rsidRDefault="00415931" w:rsidP="00415931">
            <w:pPr>
              <w:ind w:firstLine="0"/>
              <w:jc w:val="left"/>
              <w:rPr>
                <w:sz w:val="20"/>
              </w:rPr>
            </w:pPr>
            <w:r w:rsidRPr="005F08F6">
              <w:rPr>
                <w:sz w:val="20"/>
              </w:rPr>
              <w:t>Teisės akto projekte nustatytas baigtinis sprendimo priėmimo kriterijų (atvejų) sąrašas</w:t>
            </w:r>
          </w:p>
        </w:tc>
        <w:tc>
          <w:tcPr>
            <w:tcW w:w="3770" w:type="dxa"/>
          </w:tcPr>
          <w:p w:rsidR="00415931" w:rsidRPr="005F08F6" w:rsidRDefault="004B272C" w:rsidP="00415931">
            <w:pPr>
              <w:ind w:firstLine="0"/>
              <w:rPr>
                <w:sz w:val="20"/>
              </w:rPr>
            </w:pPr>
            <w:r w:rsidRPr="005F08F6">
              <w:rPr>
                <w:sz w:val="20"/>
              </w:rPr>
              <w:t>Nustatytas</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6.</w:t>
            </w:r>
          </w:p>
        </w:tc>
        <w:tc>
          <w:tcPr>
            <w:tcW w:w="5020" w:type="dxa"/>
          </w:tcPr>
          <w:p w:rsidR="00415931" w:rsidRPr="005F08F6" w:rsidRDefault="00415931" w:rsidP="00415931">
            <w:pPr>
              <w:ind w:firstLine="0"/>
              <w:jc w:val="left"/>
              <w:rPr>
                <w:sz w:val="20"/>
              </w:rPr>
            </w:pPr>
            <w:r w:rsidRPr="005F08F6">
              <w:rPr>
                <w:sz w:val="20"/>
              </w:rPr>
              <w:t>Teisės akto projekte nustatytas baigtinis sąrašas motyvuotų atvejų, kai priimant sprendimus taikomos išimtys</w:t>
            </w:r>
          </w:p>
        </w:tc>
        <w:tc>
          <w:tcPr>
            <w:tcW w:w="3770" w:type="dxa"/>
          </w:tcPr>
          <w:p w:rsidR="00415931" w:rsidRPr="005F08F6" w:rsidRDefault="00D0252B" w:rsidP="00D204D1">
            <w:pPr>
              <w:ind w:firstLine="0"/>
              <w:rPr>
                <w:sz w:val="20"/>
              </w:rPr>
            </w:pPr>
            <w:r>
              <w:rPr>
                <w:sz w:val="20"/>
              </w:rPr>
              <w:t xml:space="preserve">Išimtys nustatytos Aprašo </w:t>
            </w:r>
            <w:r w:rsidR="0039243B">
              <w:rPr>
                <w:sz w:val="20"/>
              </w:rPr>
              <w:t xml:space="preserve">20 p. </w:t>
            </w:r>
          </w:p>
        </w:tc>
        <w:tc>
          <w:tcPr>
            <w:tcW w:w="3553" w:type="dxa"/>
          </w:tcPr>
          <w:p w:rsidR="00415931" w:rsidRPr="005F08F6" w:rsidRDefault="00CC26E1" w:rsidP="00CC26E1">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7.</w:t>
            </w:r>
          </w:p>
        </w:tc>
        <w:tc>
          <w:tcPr>
            <w:tcW w:w="5020" w:type="dxa"/>
          </w:tcPr>
          <w:p w:rsidR="00415931" w:rsidRPr="005F08F6" w:rsidRDefault="00415931" w:rsidP="00415931">
            <w:pPr>
              <w:ind w:firstLine="0"/>
              <w:jc w:val="left"/>
              <w:rPr>
                <w:sz w:val="20"/>
              </w:rPr>
            </w:pPr>
            <w:r w:rsidRPr="005F08F6">
              <w:rPr>
                <w:sz w:val="20"/>
              </w:rPr>
              <w:t>Teisės akto projekte nustatyta sprendimų priėmimo, įforminimo tvarka ir priimtų sprendimų viešinimas</w:t>
            </w:r>
          </w:p>
        </w:tc>
        <w:tc>
          <w:tcPr>
            <w:tcW w:w="3770" w:type="dxa"/>
          </w:tcPr>
          <w:p w:rsidR="00415931" w:rsidRPr="005F08F6" w:rsidRDefault="004B272C" w:rsidP="00415931">
            <w:pPr>
              <w:ind w:firstLine="0"/>
              <w:rPr>
                <w:sz w:val="20"/>
              </w:rPr>
            </w:pPr>
            <w:r w:rsidRPr="005F08F6">
              <w:rPr>
                <w:sz w:val="20"/>
              </w:rPr>
              <w:t>Nustatyta</w:t>
            </w:r>
          </w:p>
        </w:tc>
        <w:tc>
          <w:tcPr>
            <w:tcW w:w="3553" w:type="dxa"/>
          </w:tcPr>
          <w:p w:rsidR="00415931" w:rsidRPr="005F08F6" w:rsidRDefault="00CC26E1" w:rsidP="00CC26E1">
            <w:pPr>
              <w:ind w:firstLine="0"/>
              <w:jc w:val="center"/>
              <w:rPr>
                <w:sz w:val="20"/>
              </w:rPr>
            </w:pPr>
            <w:r w:rsidRPr="005F08F6">
              <w:rPr>
                <w:sz w:val="20"/>
              </w:rPr>
              <w:t>-</w:t>
            </w:r>
          </w:p>
        </w:tc>
        <w:tc>
          <w:tcPr>
            <w:tcW w:w="2757" w:type="dxa"/>
          </w:tcPr>
          <w:p w:rsidR="00300373" w:rsidRPr="005F08F6" w:rsidRDefault="00300373" w:rsidP="00300373">
            <w:pPr>
              <w:ind w:firstLine="0"/>
              <w:rPr>
                <w:sz w:val="20"/>
              </w:rPr>
            </w:pPr>
          </w:p>
          <w:p w:rsidR="00300373"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tenkina</w:t>
            </w:r>
          </w:p>
          <w:p w:rsidR="00300373" w:rsidRPr="005F08F6" w:rsidRDefault="00300373" w:rsidP="00300373">
            <w:pPr>
              <w:ind w:firstLine="0"/>
              <w:rPr>
                <w:sz w:val="20"/>
              </w:rPr>
            </w:pPr>
          </w:p>
          <w:p w:rsidR="00415931"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8.</w:t>
            </w:r>
          </w:p>
        </w:tc>
        <w:tc>
          <w:tcPr>
            <w:tcW w:w="5020" w:type="dxa"/>
          </w:tcPr>
          <w:p w:rsidR="00415931" w:rsidRPr="005F08F6" w:rsidRDefault="00415931" w:rsidP="00415931">
            <w:pPr>
              <w:ind w:firstLine="0"/>
              <w:jc w:val="left"/>
              <w:rPr>
                <w:sz w:val="20"/>
              </w:rPr>
            </w:pPr>
            <w:r w:rsidRPr="005F08F6">
              <w:rPr>
                <w:sz w:val="20"/>
              </w:rPr>
              <w:t>Teisės akto projekte nustatyta sprendimų dėl mažareikšmiškumo priėmimo tvarka</w:t>
            </w:r>
          </w:p>
        </w:tc>
        <w:tc>
          <w:tcPr>
            <w:tcW w:w="3770" w:type="dxa"/>
          </w:tcPr>
          <w:p w:rsidR="00415931" w:rsidRPr="005F08F6" w:rsidRDefault="0099319A" w:rsidP="00415931">
            <w:pPr>
              <w:ind w:firstLine="0"/>
              <w:rPr>
                <w:sz w:val="20"/>
              </w:rPr>
            </w:pPr>
            <w:r w:rsidRPr="005F08F6">
              <w:rPr>
                <w:sz w:val="20"/>
              </w:rPr>
              <w:t>Tokia tvarka nenustatyta</w:t>
            </w:r>
          </w:p>
        </w:tc>
        <w:tc>
          <w:tcPr>
            <w:tcW w:w="3553" w:type="dxa"/>
          </w:tcPr>
          <w:p w:rsidR="00415931" w:rsidRPr="005F08F6" w:rsidRDefault="00EE0149" w:rsidP="00EE0149">
            <w:pPr>
              <w:ind w:firstLine="0"/>
              <w:jc w:val="center"/>
              <w:rPr>
                <w:b/>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9.</w:t>
            </w:r>
          </w:p>
        </w:tc>
        <w:tc>
          <w:tcPr>
            <w:tcW w:w="5020" w:type="dxa"/>
          </w:tcPr>
          <w:p w:rsidR="00415931" w:rsidRPr="005F08F6" w:rsidRDefault="00415931" w:rsidP="00415931">
            <w:pPr>
              <w:ind w:firstLine="0"/>
              <w:jc w:val="left"/>
              <w:rPr>
                <w:sz w:val="20"/>
              </w:rPr>
            </w:pPr>
            <w:r w:rsidRPr="005F08F6">
              <w:rPr>
                <w:sz w:val="20"/>
              </w:rPr>
              <w:t>Jeigu pagal numatomą reguliavimą sprendimus priima kolegialus subjektas, teisės akto projekte nustatyta kolegialaus sprendimus priimančio subjekto:</w:t>
            </w:r>
          </w:p>
          <w:p w:rsidR="00415931" w:rsidRPr="005F08F6" w:rsidRDefault="00415931" w:rsidP="00415931">
            <w:pPr>
              <w:ind w:left="33" w:firstLine="0"/>
              <w:contextualSpacing/>
              <w:jc w:val="left"/>
              <w:rPr>
                <w:sz w:val="20"/>
              </w:rPr>
            </w:pPr>
            <w:r w:rsidRPr="005F08F6">
              <w:rPr>
                <w:sz w:val="20"/>
              </w:rPr>
              <w:t>9.1. konkretus narių skaičius, užtikrinantis kolegialaus sprendimus priimančio subjekto veiklos objektyvumą;</w:t>
            </w:r>
          </w:p>
          <w:p w:rsidR="00415931" w:rsidRPr="005F08F6" w:rsidRDefault="00415931" w:rsidP="00415931">
            <w:pPr>
              <w:ind w:left="33" w:firstLine="0"/>
              <w:contextualSpacing/>
              <w:jc w:val="left"/>
              <w:rPr>
                <w:sz w:val="20"/>
              </w:rPr>
            </w:pPr>
            <w:r w:rsidRPr="005F08F6">
              <w:rPr>
                <w:sz w:val="20"/>
              </w:rPr>
              <w:t>9.2. jeigu narius skiria keli subjektai, proporcinga kiekvieno subjekto skiriamų narių dalis, užtikrinanti tinkamą atstovavimą valstybės interesams ir kolegialaus sprendimus priimančio subjekto veiklos objektyvumą ir skaidrumą;</w:t>
            </w:r>
          </w:p>
          <w:p w:rsidR="00415931" w:rsidRPr="005F08F6" w:rsidRDefault="00415931" w:rsidP="00415931">
            <w:pPr>
              <w:ind w:firstLine="0"/>
              <w:jc w:val="left"/>
              <w:rPr>
                <w:sz w:val="20"/>
              </w:rPr>
            </w:pPr>
            <w:r w:rsidRPr="005F08F6">
              <w:rPr>
                <w:sz w:val="20"/>
              </w:rPr>
              <w:t>9.3</w:t>
            </w:r>
            <w:r w:rsidRPr="005F08F6">
              <w:rPr>
                <w:spacing w:val="-4"/>
                <w:sz w:val="20"/>
              </w:rPr>
              <w:t>. narių skyrimo mechanizmas;</w:t>
            </w:r>
          </w:p>
          <w:p w:rsidR="00415931" w:rsidRPr="005F08F6" w:rsidRDefault="00415931" w:rsidP="00415931">
            <w:pPr>
              <w:ind w:firstLine="0"/>
              <w:jc w:val="left"/>
              <w:rPr>
                <w:sz w:val="20"/>
              </w:rPr>
            </w:pPr>
            <w:r w:rsidRPr="005F08F6">
              <w:rPr>
                <w:sz w:val="20"/>
              </w:rPr>
              <w:t>9.4. narių rotacija ir kadencijų skaičius ir trukmė;</w:t>
            </w:r>
          </w:p>
          <w:p w:rsidR="00415931" w:rsidRPr="005F08F6" w:rsidRDefault="00415931" w:rsidP="00415931">
            <w:pPr>
              <w:ind w:firstLine="0"/>
              <w:contextualSpacing/>
              <w:jc w:val="left"/>
              <w:rPr>
                <w:sz w:val="20"/>
              </w:rPr>
            </w:pPr>
            <w:r w:rsidRPr="005F08F6">
              <w:rPr>
                <w:sz w:val="20"/>
              </w:rPr>
              <w:t>9.5. veiklos pobūdis laiko atžvilgiu;</w:t>
            </w:r>
          </w:p>
          <w:p w:rsidR="00415931" w:rsidRPr="005F08F6" w:rsidRDefault="00415931" w:rsidP="00415931">
            <w:pPr>
              <w:ind w:firstLine="0"/>
              <w:jc w:val="left"/>
              <w:rPr>
                <w:sz w:val="20"/>
              </w:rPr>
            </w:pPr>
            <w:r w:rsidRPr="005F08F6">
              <w:rPr>
                <w:sz w:val="20"/>
              </w:rPr>
              <w:t>9.6. individuali narių atsakomybė</w:t>
            </w:r>
          </w:p>
        </w:tc>
        <w:tc>
          <w:tcPr>
            <w:tcW w:w="3770" w:type="dxa"/>
          </w:tcPr>
          <w:p w:rsidR="00415931" w:rsidRPr="005F08F6" w:rsidRDefault="00D1439B" w:rsidP="00D0252B">
            <w:pPr>
              <w:ind w:firstLine="0"/>
              <w:rPr>
                <w:sz w:val="20"/>
              </w:rPr>
            </w:pPr>
            <w:r w:rsidRPr="005F08F6">
              <w:rPr>
                <w:sz w:val="20"/>
              </w:rPr>
              <w:t xml:space="preserve">Aprašo projekte nėra numatytas kolegialus </w:t>
            </w:r>
            <w:r w:rsidR="00D0252B">
              <w:rPr>
                <w:sz w:val="20"/>
              </w:rPr>
              <w:t xml:space="preserve">sprendimą priimantis </w:t>
            </w:r>
            <w:r w:rsidRPr="005F08F6">
              <w:rPr>
                <w:sz w:val="20"/>
              </w:rPr>
              <w:t xml:space="preserve">subjektas. </w:t>
            </w:r>
          </w:p>
        </w:tc>
        <w:tc>
          <w:tcPr>
            <w:tcW w:w="3553" w:type="dxa"/>
          </w:tcPr>
          <w:p w:rsidR="00415931" w:rsidRPr="005F08F6" w:rsidRDefault="005018B3" w:rsidP="005018B3">
            <w:pPr>
              <w:ind w:firstLine="0"/>
              <w:jc w:val="center"/>
              <w:rPr>
                <w:b/>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10.</w:t>
            </w:r>
          </w:p>
        </w:tc>
        <w:tc>
          <w:tcPr>
            <w:tcW w:w="5020" w:type="dxa"/>
          </w:tcPr>
          <w:p w:rsidR="00415931" w:rsidRPr="005F08F6" w:rsidRDefault="00415931" w:rsidP="00415931">
            <w:pPr>
              <w:ind w:firstLine="0"/>
              <w:jc w:val="left"/>
              <w:rPr>
                <w:sz w:val="20"/>
              </w:rPr>
            </w:pPr>
            <w:r w:rsidRPr="005F08F6">
              <w:rPr>
                <w:sz w:val="20"/>
              </w:rPr>
              <w:t xml:space="preserve">Teisės akto projekto nuostatoms įgyvendinti numatytos administracinės procedūros yra </w:t>
            </w:r>
            <w:r w:rsidRPr="005F08F6">
              <w:rPr>
                <w:sz w:val="20"/>
                <w:shd w:val="clear" w:color="auto" w:fill="FFFFFF"/>
              </w:rPr>
              <w:t>būtinos,</w:t>
            </w:r>
            <w:r w:rsidRPr="005F08F6">
              <w:rPr>
                <w:sz w:val="20"/>
              </w:rPr>
              <w:t xml:space="preserve"> nustatyta išsami jų taikymo tvarka </w:t>
            </w:r>
          </w:p>
        </w:tc>
        <w:tc>
          <w:tcPr>
            <w:tcW w:w="3770" w:type="dxa"/>
          </w:tcPr>
          <w:p w:rsidR="00415931" w:rsidRPr="005F08F6" w:rsidRDefault="00A6188A" w:rsidP="00415931">
            <w:pPr>
              <w:ind w:firstLine="0"/>
              <w:rPr>
                <w:sz w:val="20"/>
              </w:rPr>
            </w:pPr>
            <w:r w:rsidRPr="005F08F6">
              <w:rPr>
                <w:sz w:val="20"/>
              </w:rPr>
              <w:t xml:space="preserve"> </w:t>
            </w:r>
            <w:r w:rsidR="004C538A" w:rsidRPr="005F08F6">
              <w:rPr>
                <w:sz w:val="20"/>
              </w:rPr>
              <w:t>Administracinės procedūros būtinos, tvarka nustatyta</w:t>
            </w:r>
          </w:p>
          <w:p w:rsidR="00603C50" w:rsidRPr="005F08F6" w:rsidRDefault="00603C50" w:rsidP="00415931">
            <w:pPr>
              <w:ind w:firstLine="0"/>
              <w:rPr>
                <w:sz w:val="20"/>
              </w:rPr>
            </w:pPr>
          </w:p>
        </w:tc>
        <w:tc>
          <w:tcPr>
            <w:tcW w:w="3553" w:type="dxa"/>
          </w:tcPr>
          <w:p w:rsidR="00415931" w:rsidRPr="005F08F6" w:rsidRDefault="00603C50" w:rsidP="00603C50">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11.</w:t>
            </w:r>
          </w:p>
        </w:tc>
        <w:tc>
          <w:tcPr>
            <w:tcW w:w="5020" w:type="dxa"/>
          </w:tcPr>
          <w:p w:rsidR="00415931" w:rsidRPr="005F08F6" w:rsidRDefault="00415931" w:rsidP="00415931">
            <w:pPr>
              <w:ind w:firstLine="0"/>
              <w:jc w:val="left"/>
              <w:rPr>
                <w:sz w:val="20"/>
              </w:rPr>
            </w:pPr>
            <w:r w:rsidRPr="005F08F6">
              <w:rPr>
                <w:sz w:val="20"/>
              </w:rPr>
              <w:t>Teisės akto projekte nustatytas baigtinis sąrašas motyvuotų atvejų, kai administracinė procedūra netaikoma</w:t>
            </w:r>
          </w:p>
        </w:tc>
        <w:tc>
          <w:tcPr>
            <w:tcW w:w="3770" w:type="dxa"/>
          </w:tcPr>
          <w:p w:rsidR="00415931" w:rsidRPr="005F08F6" w:rsidRDefault="004C538A" w:rsidP="00415931">
            <w:pPr>
              <w:ind w:firstLine="0"/>
              <w:rPr>
                <w:sz w:val="20"/>
              </w:rPr>
            </w:pPr>
            <w:r w:rsidRPr="005F08F6">
              <w:rPr>
                <w:sz w:val="20"/>
              </w:rPr>
              <w:t>Atvejų, kai administracinė procedūra netaikoma, aprašo projektas nenumato</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12.</w:t>
            </w:r>
          </w:p>
        </w:tc>
        <w:tc>
          <w:tcPr>
            <w:tcW w:w="5020" w:type="dxa"/>
          </w:tcPr>
          <w:p w:rsidR="00415931" w:rsidRPr="005F08F6" w:rsidRDefault="00415931" w:rsidP="00415931">
            <w:pPr>
              <w:ind w:firstLine="0"/>
              <w:jc w:val="left"/>
              <w:rPr>
                <w:sz w:val="20"/>
              </w:rPr>
            </w:pPr>
            <w:r w:rsidRPr="005F08F6">
              <w:rPr>
                <w:sz w:val="20"/>
              </w:rPr>
              <w:t>Teisės akto projektas nustato jo nuostatoms įgyvendinti numatytų administracinių procedūrų ir sprendimo priėmimo konkrečius terminus</w:t>
            </w:r>
          </w:p>
        </w:tc>
        <w:tc>
          <w:tcPr>
            <w:tcW w:w="3770" w:type="dxa"/>
          </w:tcPr>
          <w:p w:rsidR="00415931" w:rsidRPr="005F08F6" w:rsidRDefault="004C538A" w:rsidP="00415931">
            <w:pPr>
              <w:ind w:firstLine="0"/>
              <w:rPr>
                <w:sz w:val="20"/>
              </w:rPr>
            </w:pPr>
            <w:r w:rsidRPr="005F08F6">
              <w:rPr>
                <w:sz w:val="20"/>
              </w:rPr>
              <w:t>Nustato</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lastRenderedPageBreak/>
              <w:t>13.</w:t>
            </w:r>
          </w:p>
        </w:tc>
        <w:tc>
          <w:tcPr>
            <w:tcW w:w="5020" w:type="dxa"/>
          </w:tcPr>
          <w:p w:rsidR="00415931" w:rsidRPr="005F08F6" w:rsidRDefault="00415931" w:rsidP="00415931">
            <w:pPr>
              <w:ind w:firstLine="0"/>
              <w:jc w:val="left"/>
              <w:rPr>
                <w:sz w:val="20"/>
              </w:rPr>
            </w:pPr>
            <w:r w:rsidRPr="005F08F6">
              <w:rPr>
                <w:sz w:val="20"/>
              </w:rPr>
              <w:t>Teisės akto projektas nustato motyvuotas terminų sustabdymo ir pratęsimo galimybes</w:t>
            </w:r>
          </w:p>
        </w:tc>
        <w:tc>
          <w:tcPr>
            <w:tcW w:w="3770" w:type="dxa"/>
          </w:tcPr>
          <w:p w:rsidR="00415931" w:rsidRPr="005F08F6" w:rsidRDefault="00D0252B" w:rsidP="00415931">
            <w:pPr>
              <w:ind w:firstLine="0"/>
              <w:rPr>
                <w:sz w:val="20"/>
              </w:rPr>
            </w:pPr>
            <w:r>
              <w:rPr>
                <w:sz w:val="20"/>
              </w:rPr>
              <w:t>Nustato</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14.</w:t>
            </w:r>
          </w:p>
        </w:tc>
        <w:tc>
          <w:tcPr>
            <w:tcW w:w="5020" w:type="dxa"/>
          </w:tcPr>
          <w:p w:rsidR="00415931" w:rsidRPr="005F08F6" w:rsidRDefault="00415931" w:rsidP="00415931">
            <w:pPr>
              <w:ind w:firstLine="0"/>
              <w:jc w:val="left"/>
              <w:rPr>
                <w:sz w:val="20"/>
              </w:rPr>
            </w:pPr>
            <w:r w:rsidRPr="005F08F6">
              <w:rPr>
                <w:sz w:val="20"/>
              </w:rPr>
              <w:t>Teisės akto projektas nustato administracinių procedūrų viešinimo tvarką</w:t>
            </w:r>
          </w:p>
        </w:tc>
        <w:tc>
          <w:tcPr>
            <w:tcW w:w="3770" w:type="dxa"/>
          </w:tcPr>
          <w:p w:rsidR="00415931" w:rsidRPr="005F08F6" w:rsidRDefault="00D0252B" w:rsidP="00415931">
            <w:pPr>
              <w:ind w:firstLine="0"/>
              <w:rPr>
                <w:sz w:val="20"/>
              </w:rPr>
            </w:pPr>
            <w:r>
              <w:rPr>
                <w:sz w:val="20"/>
              </w:rPr>
              <w:t>Nenustato</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15.</w:t>
            </w:r>
          </w:p>
        </w:tc>
        <w:tc>
          <w:tcPr>
            <w:tcW w:w="5020" w:type="dxa"/>
          </w:tcPr>
          <w:p w:rsidR="00415931" w:rsidRPr="005F08F6" w:rsidRDefault="00415931" w:rsidP="00415931">
            <w:pPr>
              <w:ind w:firstLine="0"/>
              <w:jc w:val="left"/>
              <w:rPr>
                <w:sz w:val="20"/>
              </w:rPr>
            </w:pPr>
            <w:r w:rsidRPr="005F08F6">
              <w:rPr>
                <w:sz w:val="20"/>
              </w:rPr>
              <w:t>Teisės akto projektas nustato kontrolės (priežiūros) procedūrą ir aiškius jos atlikimo kriterijus (atvejus, dažnį, fiksavimą, kontrolės rezultatų viešinimą ir panašiai)</w:t>
            </w:r>
          </w:p>
        </w:tc>
        <w:tc>
          <w:tcPr>
            <w:tcW w:w="3770" w:type="dxa"/>
          </w:tcPr>
          <w:p w:rsidR="00415931" w:rsidRPr="005F08F6" w:rsidRDefault="002403DD" w:rsidP="002403DD">
            <w:pPr>
              <w:ind w:firstLine="0"/>
              <w:rPr>
                <w:sz w:val="20"/>
              </w:rPr>
            </w:pPr>
            <w:r>
              <w:rPr>
                <w:sz w:val="20"/>
              </w:rPr>
              <w:t>N</w:t>
            </w:r>
            <w:r w:rsidR="000E56D1">
              <w:rPr>
                <w:sz w:val="20"/>
              </w:rPr>
              <w:t xml:space="preserve">ustato. </w:t>
            </w:r>
            <w:r>
              <w:rPr>
                <w:sz w:val="20"/>
              </w:rPr>
              <w:t xml:space="preserve">1. </w:t>
            </w:r>
            <w:r w:rsidRPr="002403DD">
              <w:rPr>
                <w:sz w:val="20"/>
              </w:rPr>
              <w:t>Turto valdymo ir ūkio skyrius vykdo būsto nuomos kontrolę ir, gavęs pranešimų apie laisvus butus, parenka nuomininkus, teikia jų prašymus Komisijai svarstyti, rengia Savivaldybės administracijos direktoriaus įsakymus dėl būsto nuomos, tvarko Savivaldybės būsto fondo sąrašą, Socialinio būsto, kaip Savivaldybės būsto fondo dalies, sąrašą ir nuomininkų sąrašą, kaupia duomenis, reikalingus socialinio būsto statistinei apskaitai, teikia duomenis SPIS</w:t>
            </w:r>
            <w:r>
              <w:rPr>
                <w:sz w:val="20"/>
              </w:rPr>
              <w:t xml:space="preserve">. </w:t>
            </w:r>
            <w:r w:rsidR="000E56D1">
              <w:rPr>
                <w:sz w:val="20"/>
              </w:rPr>
              <w:t xml:space="preserve">Kontrolę atliekantys tarnautojai vadovaujasi įstatymais, skyrių nuostatais. </w:t>
            </w:r>
            <w:r>
              <w:rPr>
                <w:sz w:val="20"/>
              </w:rPr>
              <w:t xml:space="preserve"> 2. </w:t>
            </w:r>
            <w:r w:rsidRPr="002403DD">
              <w:rPr>
                <w:sz w:val="20"/>
              </w:rPr>
              <w:t>Savivaldybės būsto fondą ir socialinį būstą, kaip Savivaldybės būsto fondo dalį, administruojantys tarnautojai tikrina būstus, surašo patikrinimo aktus,  organizuoja būstų remontą, rengia pranešimus nuomininkams, organizuoja nemokių, pažeidusių nuomos sutartį nuomininkų iškeldinimą, informuoja Turto valdymo ir ūkio skyrių apie neapgyvendintus būstus, pasibaigus nuomos sutarčiai arba ją nutraukus, pasirašo gyvenamųjų patalpų grąžinimo nuomotojui aktą.</w:t>
            </w:r>
            <w:r w:rsidR="0039243B">
              <w:rPr>
                <w:sz w:val="20"/>
              </w:rPr>
              <w:t xml:space="preserve"> 3. </w:t>
            </w:r>
            <w:r w:rsidR="0039243B" w:rsidRPr="0039243B">
              <w:rPr>
                <w:sz w:val="20"/>
              </w:rPr>
              <w:t>Savivaldybės būsto fondą ir socialinio būsto fondą, kaip Savivaldybės būsto fondo dalį, administruoja administracijos direktoriaus paskirti materialiai atsakingi asmenys</w:t>
            </w:r>
            <w:r w:rsidR="0039243B">
              <w:rPr>
                <w:sz w:val="20"/>
              </w:rPr>
              <w:t>.</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16.</w:t>
            </w:r>
          </w:p>
        </w:tc>
        <w:tc>
          <w:tcPr>
            <w:tcW w:w="5020" w:type="dxa"/>
          </w:tcPr>
          <w:p w:rsidR="00415931" w:rsidRPr="005F08F6" w:rsidRDefault="00415931" w:rsidP="00415931">
            <w:pPr>
              <w:ind w:firstLine="0"/>
              <w:jc w:val="left"/>
              <w:rPr>
                <w:sz w:val="20"/>
              </w:rPr>
            </w:pPr>
            <w:r w:rsidRPr="005F08F6">
              <w:rPr>
                <w:sz w:val="20"/>
              </w:rPr>
              <w:t>Teisės akto projekte nustatytos kontrolės (priežiūros) skaidrumo ir objektyvumo užtikrinimo priemonės</w:t>
            </w:r>
          </w:p>
        </w:tc>
        <w:tc>
          <w:tcPr>
            <w:tcW w:w="3770" w:type="dxa"/>
          </w:tcPr>
          <w:p w:rsidR="00415931" w:rsidRPr="005F08F6" w:rsidRDefault="00300373" w:rsidP="0098375D">
            <w:pPr>
              <w:ind w:firstLine="0"/>
              <w:rPr>
                <w:sz w:val="20"/>
              </w:rPr>
            </w:pPr>
            <w:r w:rsidRPr="005F08F6">
              <w:rPr>
                <w:sz w:val="20"/>
              </w:rPr>
              <w:t>Nustatytos</w:t>
            </w:r>
            <w:r w:rsidR="002403DD">
              <w:rPr>
                <w:sz w:val="20"/>
              </w:rPr>
              <w:t xml:space="preserve">. </w:t>
            </w:r>
            <w:r w:rsidR="0039243B">
              <w:rPr>
                <w:sz w:val="20"/>
              </w:rPr>
              <w:t>Asmenų ir šeimų tur</w:t>
            </w:r>
            <w:r w:rsidR="002403DD" w:rsidRPr="002403DD">
              <w:rPr>
                <w:sz w:val="20"/>
              </w:rPr>
              <w:t>inčių teisę į socialinio būsto nuomą prašymai registruojami ir tvarkomi Socialinės paramos informacinėje sistemoje SPIS</w:t>
            </w:r>
            <w:r w:rsidR="0039243B">
              <w:rPr>
                <w:sz w:val="20"/>
              </w:rPr>
              <w:t>.</w:t>
            </w:r>
          </w:p>
        </w:tc>
        <w:tc>
          <w:tcPr>
            <w:tcW w:w="3553" w:type="dxa"/>
          </w:tcPr>
          <w:p w:rsidR="00415931" w:rsidRPr="005F08F6" w:rsidRDefault="0098375D" w:rsidP="0098375D">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lastRenderedPageBreak/>
              <w:t>17.</w:t>
            </w:r>
          </w:p>
        </w:tc>
        <w:tc>
          <w:tcPr>
            <w:tcW w:w="5020" w:type="dxa"/>
          </w:tcPr>
          <w:p w:rsidR="00415931" w:rsidRPr="005F08F6" w:rsidRDefault="00415931" w:rsidP="00415931">
            <w:pPr>
              <w:ind w:firstLine="0"/>
              <w:jc w:val="left"/>
              <w:rPr>
                <w:sz w:val="20"/>
              </w:rPr>
            </w:pPr>
            <w:r w:rsidRPr="005F08F6">
              <w:rPr>
                <w:sz w:val="20"/>
              </w:rPr>
              <w:t>Teisės akto projekte nustatyta subjektų, su kuriais susijęs teisės akto projekto nuostatų įgyvendinimas, atsakomybės rūšis (tarnybinė, administracinė, baudžiamoji ir panašiai)</w:t>
            </w:r>
          </w:p>
        </w:tc>
        <w:tc>
          <w:tcPr>
            <w:tcW w:w="3770" w:type="dxa"/>
          </w:tcPr>
          <w:p w:rsidR="00415931" w:rsidRPr="005F08F6" w:rsidRDefault="000E56D1" w:rsidP="00EB23C2">
            <w:pPr>
              <w:ind w:firstLine="0"/>
              <w:rPr>
                <w:b/>
                <w:sz w:val="20"/>
              </w:rPr>
            </w:pPr>
            <w:r>
              <w:rPr>
                <w:sz w:val="20"/>
              </w:rPr>
              <w:t>N</w:t>
            </w:r>
            <w:r w:rsidR="005F08F6">
              <w:rPr>
                <w:sz w:val="20"/>
              </w:rPr>
              <w:t>ustatyta</w:t>
            </w:r>
          </w:p>
        </w:tc>
        <w:tc>
          <w:tcPr>
            <w:tcW w:w="3553" w:type="dxa"/>
          </w:tcPr>
          <w:p w:rsidR="00415931" w:rsidRPr="005F08F6" w:rsidRDefault="00415931" w:rsidP="00415931">
            <w:pPr>
              <w:ind w:firstLine="0"/>
              <w:rPr>
                <w:b/>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18.</w:t>
            </w:r>
          </w:p>
        </w:tc>
        <w:tc>
          <w:tcPr>
            <w:tcW w:w="5020" w:type="dxa"/>
          </w:tcPr>
          <w:p w:rsidR="00415931" w:rsidRPr="005F08F6" w:rsidRDefault="00415931" w:rsidP="00415931">
            <w:pPr>
              <w:ind w:firstLine="0"/>
              <w:jc w:val="left"/>
              <w:rPr>
                <w:sz w:val="20"/>
              </w:rPr>
            </w:pPr>
            <w:r w:rsidRPr="005F08F6">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rsidR="00415931" w:rsidRPr="005F08F6" w:rsidRDefault="000E56D1" w:rsidP="0039243B">
            <w:pPr>
              <w:ind w:firstLine="0"/>
              <w:rPr>
                <w:sz w:val="20"/>
              </w:rPr>
            </w:pPr>
            <w:r>
              <w:rPr>
                <w:sz w:val="20"/>
              </w:rPr>
              <w:t xml:space="preserve">Aprašo </w:t>
            </w:r>
            <w:r w:rsidR="0039243B">
              <w:rPr>
                <w:sz w:val="20"/>
              </w:rPr>
              <w:t xml:space="preserve">18 p. nustatyta, kad </w:t>
            </w:r>
            <w:r>
              <w:rPr>
                <w:sz w:val="20"/>
              </w:rPr>
              <w:t xml:space="preserve"> </w:t>
            </w:r>
            <w:r w:rsidR="0039243B" w:rsidRPr="0039243B">
              <w:rPr>
                <w:sz w:val="20"/>
              </w:rPr>
              <w:t>asmenys ir šeimos, su kuriais socialinio būsto nuomos sutartis nutraukta jiems pažeidus socialinio būsto nuomos sutarties sąlygas, teisę į socialinio būsto nuomą įgyja po 5 metų nuo socialinio būsto nuomos sutarties nutraukimo dienos</w:t>
            </w:r>
            <w:r w:rsidR="0039243B">
              <w:rPr>
                <w:sz w:val="20"/>
              </w:rPr>
              <w:t xml:space="preserve">; </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19.</w:t>
            </w:r>
          </w:p>
        </w:tc>
        <w:tc>
          <w:tcPr>
            <w:tcW w:w="5020" w:type="dxa"/>
          </w:tcPr>
          <w:p w:rsidR="00415931" w:rsidRPr="005F08F6" w:rsidRDefault="00415931" w:rsidP="00415931">
            <w:pPr>
              <w:ind w:firstLine="0"/>
              <w:jc w:val="left"/>
              <w:rPr>
                <w:sz w:val="20"/>
              </w:rPr>
            </w:pPr>
            <w:r w:rsidRPr="005F08F6">
              <w:rPr>
                <w:sz w:val="20"/>
              </w:rPr>
              <w:t>Kiti svarbūs kriterijai</w:t>
            </w:r>
          </w:p>
        </w:tc>
        <w:tc>
          <w:tcPr>
            <w:tcW w:w="3770" w:type="dxa"/>
          </w:tcPr>
          <w:p w:rsidR="00415931" w:rsidRPr="005F08F6" w:rsidRDefault="00EB23C2" w:rsidP="00415931">
            <w:pPr>
              <w:ind w:firstLine="0"/>
              <w:rPr>
                <w:sz w:val="20"/>
              </w:rPr>
            </w:pPr>
            <w:r w:rsidRPr="005F08F6">
              <w:rPr>
                <w:sz w:val="20"/>
              </w:rPr>
              <w:t>N</w:t>
            </w:r>
            <w:r w:rsidR="00483C9B" w:rsidRPr="005F08F6">
              <w:rPr>
                <w:sz w:val="20"/>
              </w:rPr>
              <w:t>ėra</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EB59D7">
              <w:rPr>
                <w:sz w:val="20"/>
              </w:rPr>
            </w:r>
            <w:r w:rsidR="00EB59D7">
              <w:rPr>
                <w:sz w:val="20"/>
              </w:rPr>
              <w:fldChar w:fldCharType="separate"/>
            </w:r>
            <w:r w:rsidR="002A3973" w:rsidRPr="005F08F6">
              <w:rPr>
                <w:sz w:val="20"/>
              </w:rPr>
              <w:fldChar w:fldCharType="end"/>
            </w:r>
            <w:r w:rsidRPr="005F08F6">
              <w:rPr>
                <w:sz w:val="20"/>
              </w:rPr>
              <w:t xml:space="preserve"> netenkina</w:t>
            </w:r>
          </w:p>
        </w:tc>
      </w:tr>
    </w:tbl>
    <w:p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rsidTr="00415931">
        <w:trPr>
          <w:trHeight w:val="25"/>
        </w:trPr>
        <w:tc>
          <w:tcPr>
            <w:tcW w:w="1884" w:type="dxa"/>
          </w:tcPr>
          <w:p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rsidR="006E4163" w:rsidRDefault="002403DD" w:rsidP="002403DD">
            <w:pPr>
              <w:ind w:firstLine="0"/>
              <w:jc w:val="left"/>
              <w:rPr>
                <w:sz w:val="20"/>
              </w:rPr>
            </w:pPr>
            <w:r>
              <w:rPr>
                <w:sz w:val="20"/>
              </w:rPr>
              <w:t>Turto valdymo ir ūkio</w:t>
            </w:r>
            <w:r w:rsidR="004C538A">
              <w:rPr>
                <w:sz w:val="20"/>
              </w:rPr>
              <w:t xml:space="preserve"> skyriaus </w:t>
            </w:r>
            <w:r>
              <w:rPr>
                <w:sz w:val="20"/>
              </w:rPr>
              <w:t>vedėja</w:t>
            </w:r>
          </w:p>
          <w:p w:rsidR="002403DD" w:rsidRPr="0049171D" w:rsidRDefault="002403DD" w:rsidP="002403DD">
            <w:pPr>
              <w:ind w:firstLine="0"/>
              <w:jc w:val="left"/>
              <w:rPr>
                <w:sz w:val="20"/>
              </w:rPr>
            </w:pPr>
            <w:r>
              <w:rPr>
                <w:sz w:val="20"/>
              </w:rPr>
              <w:t>Violeta Bieliūnaitė-Vanagienė</w:t>
            </w:r>
          </w:p>
        </w:tc>
        <w:tc>
          <w:tcPr>
            <w:tcW w:w="1875" w:type="dxa"/>
          </w:tcPr>
          <w:p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rsidR="00300373" w:rsidRDefault="00353120" w:rsidP="00415931">
            <w:pPr>
              <w:ind w:firstLine="0"/>
              <w:jc w:val="left"/>
              <w:rPr>
                <w:sz w:val="20"/>
              </w:rPr>
            </w:pPr>
            <w:r>
              <w:rPr>
                <w:sz w:val="20"/>
              </w:rPr>
              <w:t xml:space="preserve">Juridinio ir personalo skyriaus vyriausioji specialistė </w:t>
            </w:r>
          </w:p>
          <w:p w:rsidR="00415931" w:rsidRPr="0049171D" w:rsidRDefault="00353120" w:rsidP="00415931">
            <w:pPr>
              <w:ind w:firstLine="0"/>
              <w:jc w:val="left"/>
              <w:rPr>
                <w:sz w:val="20"/>
              </w:rPr>
            </w:pPr>
            <w:r>
              <w:rPr>
                <w:sz w:val="20"/>
              </w:rPr>
              <w:t>Daiva Jasiūnienė</w:t>
            </w:r>
          </w:p>
        </w:tc>
      </w:tr>
      <w:tr w:rsidR="00415931" w:rsidRPr="0049171D" w:rsidTr="00415931">
        <w:trPr>
          <w:trHeight w:val="25"/>
        </w:trPr>
        <w:tc>
          <w:tcPr>
            <w:tcW w:w="1884" w:type="dxa"/>
          </w:tcPr>
          <w:p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rsidR="00415931" w:rsidRDefault="00415931" w:rsidP="00415931">
            <w:pPr>
              <w:ind w:left="-11" w:firstLine="0"/>
              <w:jc w:val="left"/>
              <w:rPr>
                <w:sz w:val="20"/>
              </w:rPr>
            </w:pPr>
            <w:r w:rsidRPr="0049171D">
              <w:rPr>
                <w:sz w:val="20"/>
              </w:rPr>
              <w:t>(pareigos) (vardas ir pavardė</w:t>
            </w:r>
          </w:p>
          <w:p w:rsidR="00415931" w:rsidRPr="0049171D" w:rsidRDefault="00353120" w:rsidP="00415931">
            <w:pPr>
              <w:ind w:firstLine="0"/>
              <w:jc w:val="left"/>
              <w:rPr>
                <w:sz w:val="20"/>
              </w:rPr>
            </w:pPr>
            <w:r>
              <w:rPr>
                <w:sz w:val="20"/>
              </w:rPr>
              <w:t>_____________________________</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rsidR="00415931" w:rsidRPr="0049171D" w:rsidRDefault="00415931" w:rsidP="00415931">
            <w:pPr>
              <w:ind w:left="-11" w:firstLine="0"/>
              <w:jc w:val="left"/>
              <w:rPr>
                <w:sz w:val="20"/>
              </w:rPr>
            </w:pPr>
            <w:r w:rsidRPr="0049171D">
              <w:rPr>
                <w:sz w:val="20"/>
              </w:rPr>
              <w:t>(pareigos) (vardas ir pavardė)</w:t>
            </w:r>
          </w:p>
        </w:tc>
      </w:tr>
      <w:tr w:rsidR="00415931" w:rsidRPr="0049171D" w:rsidTr="00415931">
        <w:trPr>
          <w:trHeight w:val="25"/>
        </w:trPr>
        <w:tc>
          <w:tcPr>
            <w:tcW w:w="1884" w:type="dxa"/>
          </w:tcPr>
          <w:p w:rsidR="00415931" w:rsidRDefault="00415931" w:rsidP="00415931">
            <w:pPr>
              <w:ind w:firstLine="0"/>
              <w:jc w:val="left"/>
              <w:rPr>
                <w:sz w:val="20"/>
              </w:rPr>
            </w:pPr>
          </w:p>
          <w:p w:rsidR="00415931" w:rsidRPr="0049171D" w:rsidRDefault="00415931" w:rsidP="00415931">
            <w:pPr>
              <w:ind w:firstLine="0"/>
              <w:jc w:val="left"/>
              <w:rPr>
                <w:sz w:val="20"/>
              </w:rPr>
            </w:pPr>
          </w:p>
        </w:tc>
        <w:tc>
          <w:tcPr>
            <w:tcW w:w="2960" w:type="dxa"/>
          </w:tcPr>
          <w:p w:rsidR="00415931" w:rsidRPr="0049171D" w:rsidRDefault="00415931" w:rsidP="00415931">
            <w:pPr>
              <w:ind w:left="-11" w:firstLine="0"/>
              <w:jc w:val="left"/>
              <w:rPr>
                <w:sz w:val="20"/>
              </w:rPr>
            </w:pPr>
            <w:r w:rsidRPr="0049171D">
              <w:rPr>
                <w:sz w:val="20"/>
              </w:rPr>
              <w:t>(parašas) (data)</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rsidR="00415931" w:rsidRPr="0049171D" w:rsidRDefault="00415931" w:rsidP="00415931">
            <w:pPr>
              <w:ind w:left="-11" w:firstLine="0"/>
              <w:jc w:val="left"/>
              <w:rPr>
                <w:sz w:val="20"/>
              </w:rPr>
            </w:pPr>
            <w:r w:rsidRPr="0049171D">
              <w:rPr>
                <w:sz w:val="20"/>
              </w:rPr>
              <w:t>(parašas) (data)</w:t>
            </w:r>
          </w:p>
        </w:tc>
      </w:tr>
    </w:tbl>
    <w:p w:rsidR="00A84E2D" w:rsidRDefault="00A84E2D" w:rsidP="00353120"/>
    <w:sectPr w:rsidR="00A84E2D" w:rsidSect="00415931">
      <w:headerReference w:type="default" r:id="rId7"/>
      <w:footerReference w:type="default" r:id="rId8"/>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D7" w:rsidRDefault="00EB59D7">
      <w:r>
        <w:separator/>
      </w:r>
    </w:p>
  </w:endnote>
  <w:endnote w:type="continuationSeparator" w:id="0">
    <w:p w:rsidR="00EB59D7" w:rsidRDefault="00E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D7" w:rsidRDefault="00EB59D7">
      <w:r>
        <w:separator/>
      </w:r>
    </w:p>
  </w:footnote>
  <w:footnote w:type="continuationSeparator" w:id="0">
    <w:p w:rsidR="00EB59D7" w:rsidRDefault="00EB5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0E6148">
    <w:pPr>
      <w:pStyle w:val="Antrats"/>
      <w:jc w:val="center"/>
    </w:pPr>
    <w:r>
      <w:fldChar w:fldCharType="begin"/>
    </w:r>
    <w:r>
      <w:instrText xml:space="preserve"> PAGE   \* MERGEFORMAT </w:instrText>
    </w:r>
    <w:r>
      <w:fldChar w:fldCharType="separate"/>
    </w:r>
    <w:r w:rsidR="00F254FE">
      <w:rPr>
        <w:noProof/>
      </w:rPr>
      <w:t>2</w:t>
    </w:r>
    <w:r>
      <w:rPr>
        <w:noProof/>
      </w:rPr>
      <w:fldChar w:fldCharType="end"/>
    </w:r>
  </w:p>
  <w:p w:rsidR="00EB23C2" w:rsidRPr="002E3169" w:rsidRDefault="00EB23C2" w:rsidP="004159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805B9"/>
    <w:rsid w:val="000E56D1"/>
    <w:rsid w:val="000E6148"/>
    <w:rsid w:val="00195B5E"/>
    <w:rsid w:val="001D320D"/>
    <w:rsid w:val="002403DD"/>
    <w:rsid w:val="002A3973"/>
    <w:rsid w:val="002C0F8F"/>
    <w:rsid w:val="00300373"/>
    <w:rsid w:val="00353120"/>
    <w:rsid w:val="0039243B"/>
    <w:rsid w:val="003E3D37"/>
    <w:rsid w:val="003F4191"/>
    <w:rsid w:val="00415931"/>
    <w:rsid w:val="00457835"/>
    <w:rsid w:val="004806FA"/>
    <w:rsid w:val="00483C9B"/>
    <w:rsid w:val="004B272C"/>
    <w:rsid w:val="004C538A"/>
    <w:rsid w:val="004E3926"/>
    <w:rsid w:val="005018B3"/>
    <w:rsid w:val="005A104A"/>
    <w:rsid w:val="005F08F6"/>
    <w:rsid w:val="00603C50"/>
    <w:rsid w:val="00605C77"/>
    <w:rsid w:val="00611BF1"/>
    <w:rsid w:val="00637249"/>
    <w:rsid w:val="006A2761"/>
    <w:rsid w:val="006E4163"/>
    <w:rsid w:val="006E6EEC"/>
    <w:rsid w:val="00740F38"/>
    <w:rsid w:val="007D44CF"/>
    <w:rsid w:val="008660F4"/>
    <w:rsid w:val="00880A67"/>
    <w:rsid w:val="008E0082"/>
    <w:rsid w:val="008F2791"/>
    <w:rsid w:val="0098375D"/>
    <w:rsid w:val="0099319A"/>
    <w:rsid w:val="00A111D6"/>
    <w:rsid w:val="00A6188A"/>
    <w:rsid w:val="00A756D0"/>
    <w:rsid w:val="00A84E2D"/>
    <w:rsid w:val="00B379CE"/>
    <w:rsid w:val="00B9708B"/>
    <w:rsid w:val="00BA34EC"/>
    <w:rsid w:val="00C27250"/>
    <w:rsid w:val="00CC26E1"/>
    <w:rsid w:val="00CC334F"/>
    <w:rsid w:val="00CD1F94"/>
    <w:rsid w:val="00CD5649"/>
    <w:rsid w:val="00D0252B"/>
    <w:rsid w:val="00D1439B"/>
    <w:rsid w:val="00D204D1"/>
    <w:rsid w:val="00D40DFE"/>
    <w:rsid w:val="00E63670"/>
    <w:rsid w:val="00E866D7"/>
    <w:rsid w:val="00EB23C2"/>
    <w:rsid w:val="00EB59D7"/>
    <w:rsid w:val="00EC2396"/>
    <w:rsid w:val="00EE0149"/>
    <w:rsid w:val="00F254FE"/>
    <w:rsid w:val="00F42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5063</Words>
  <Characters>2886</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2019-10-21T08:13:00Z</cp:lastPrinted>
  <dcterms:created xsi:type="dcterms:W3CDTF">2021-09-30T11:46:00Z</dcterms:created>
  <dcterms:modified xsi:type="dcterms:W3CDTF">2021-09-30T11:46:00Z</dcterms:modified>
</cp:coreProperties>
</file>