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7" w:rsidRPr="00491737" w:rsidRDefault="00D24487" w:rsidP="00280F80">
      <w:pPr>
        <w:ind w:right="197"/>
        <w:jc w:val="center"/>
        <w:rPr>
          <w:b/>
          <w:sz w:val="24"/>
          <w:szCs w:val="24"/>
          <w:lang w:val="lt-LT"/>
        </w:rPr>
      </w:pPr>
      <w:r w:rsidRPr="00491737">
        <w:rPr>
          <w:b/>
          <w:sz w:val="24"/>
          <w:szCs w:val="24"/>
          <w:lang w:val="lt-LT"/>
        </w:rPr>
        <w:t>S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P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R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E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N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D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I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M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A</w:t>
      </w:r>
      <w:r w:rsidR="00280F80">
        <w:rPr>
          <w:b/>
          <w:sz w:val="24"/>
          <w:szCs w:val="24"/>
          <w:lang w:val="lt-LT"/>
        </w:rPr>
        <w:t xml:space="preserve"> </w:t>
      </w:r>
      <w:r w:rsidRPr="00491737">
        <w:rPr>
          <w:b/>
          <w:sz w:val="24"/>
          <w:szCs w:val="24"/>
          <w:lang w:val="lt-LT"/>
        </w:rPr>
        <w:t>S</w:t>
      </w:r>
    </w:p>
    <w:p w:rsidR="00A36941" w:rsidRPr="00280F80" w:rsidRDefault="00280F80" w:rsidP="00280F8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80F80">
        <w:rPr>
          <w:rFonts w:ascii="Times New Roman" w:hAnsi="Times New Roman"/>
          <w:b/>
          <w:sz w:val="24"/>
          <w:szCs w:val="24"/>
        </w:rPr>
        <w:t xml:space="preserve">DĖL PRITARIMO </w:t>
      </w:r>
      <w:r w:rsidR="005373CB" w:rsidRPr="00280F80">
        <w:rPr>
          <w:rFonts w:ascii="Times New Roman" w:hAnsi="Times New Roman"/>
          <w:b/>
          <w:sz w:val="24"/>
          <w:szCs w:val="24"/>
        </w:rPr>
        <w:t>VIEŠOSIOS ĮSTAIGOS JUODUPĖS KOMUNALINIO ŪKIO</w:t>
      </w:r>
      <w:r w:rsidRPr="00280F80">
        <w:rPr>
          <w:rFonts w:ascii="Times New Roman" w:hAnsi="Times New Roman"/>
          <w:b/>
          <w:sz w:val="24"/>
          <w:szCs w:val="24"/>
        </w:rPr>
        <w:t xml:space="preserve"> </w:t>
      </w:r>
      <w:r w:rsidR="00A36941" w:rsidRPr="00280F80">
        <w:rPr>
          <w:rFonts w:ascii="Times New Roman" w:hAnsi="Times New Roman"/>
          <w:b/>
          <w:sz w:val="24"/>
          <w:szCs w:val="24"/>
        </w:rPr>
        <w:t>2017 METŲ DIREKTORIAUS VEIKLOS ATASKAITAI</w:t>
      </w:r>
    </w:p>
    <w:bookmarkEnd w:id="0"/>
    <w:p w:rsidR="00187088" w:rsidRPr="00491737" w:rsidRDefault="00187088" w:rsidP="00187088">
      <w:pPr>
        <w:ind w:right="197"/>
        <w:jc w:val="center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201</w:t>
      </w:r>
      <w:r w:rsidR="00565D94" w:rsidRPr="00491737">
        <w:rPr>
          <w:sz w:val="24"/>
          <w:szCs w:val="24"/>
          <w:lang w:val="lt-LT"/>
        </w:rPr>
        <w:t>8</w:t>
      </w:r>
      <w:r w:rsidRPr="00491737">
        <w:rPr>
          <w:sz w:val="24"/>
          <w:szCs w:val="24"/>
          <w:lang w:val="lt-LT"/>
        </w:rPr>
        <w:t xml:space="preserve"> m. </w:t>
      </w:r>
      <w:r w:rsidR="00A36941" w:rsidRPr="00491737">
        <w:rPr>
          <w:sz w:val="24"/>
          <w:szCs w:val="24"/>
          <w:lang w:val="lt-LT"/>
        </w:rPr>
        <w:t>balandžio 27</w:t>
      </w:r>
      <w:r w:rsidRPr="00491737">
        <w:rPr>
          <w:sz w:val="24"/>
          <w:szCs w:val="24"/>
          <w:lang w:val="lt-LT"/>
        </w:rPr>
        <w:t xml:space="preserve"> d. Nr. TS-</w:t>
      </w:r>
    </w:p>
    <w:p w:rsidR="00187088" w:rsidRPr="00491737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Rokiškis</w:t>
      </w:r>
    </w:p>
    <w:p w:rsidR="00187088" w:rsidRDefault="00187088" w:rsidP="00187088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:rsidR="00280F80" w:rsidRPr="00280F80" w:rsidRDefault="00280F80" w:rsidP="00280F80">
      <w:pPr>
        <w:rPr>
          <w:lang w:val="lt-LT" w:eastAsia="x-none"/>
        </w:rPr>
      </w:pPr>
    </w:p>
    <w:p w:rsidR="00A36941" w:rsidRPr="00491737" w:rsidRDefault="00A36941" w:rsidP="00A36941">
      <w:pPr>
        <w:pStyle w:val="Default"/>
        <w:ind w:firstLine="851"/>
        <w:jc w:val="both"/>
      </w:pPr>
      <w:r w:rsidRPr="00491737">
        <w:t>Vadovaudamasi Lietuvos Respublikos vietos savivaldos įstatymo 16 straipsnio 2 dalies 19 punktu ir Rokišk</w:t>
      </w:r>
      <w:r w:rsidR="00280F80">
        <w:t xml:space="preserve">io rajono savivaldybės tarybos </w:t>
      </w:r>
      <w:r w:rsidRPr="00491737">
        <w:rPr>
          <w:lang w:eastAsia="ar-SA"/>
        </w:rPr>
        <w:t>2015 m. kovo 27 d. sprendimu Nr. TS-102</w:t>
      </w:r>
      <w:r w:rsidRPr="00491737">
        <w:t xml:space="preserve"> ,,Dėl Rokiškio rajono savivaldybės tarybos veiklos reglamento patvirtinimo”, patvirtinto Rokiškio rajono savivaldybės tarybos veiklos reglamento </w:t>
      </w:r>
      <w:r w:rsidR="005373CB" w:rsidRPr="00491737">
        <w:t xml:space="preserve">266, </w:t>
      </w:r>
      <w:r w:rsidR="00280F80">
        <w:t xml:space="preserve">269, 270 punktais, </w:t>
      </w:r>
      <w:r w:rsidRPr="00491737">
        <w:t xml:space="preserve">Rokiškio </w:t>
      </w:r>
      <w:r w:rsidR="00280F80">
        <w:t xml:space="preserve">rajono savivaldybės taryba </w:t>
      </w:r>
      <w:r w:rsidRPr="00491737">
        <w:t>n u s p r e n d ž i a:</w:t>
      </w:r>
    </w:p>
    <w:p w:rsidR="00280C26" w:rsidRDefault="00A36941" w:rsidP="00280C26">
      <w:pPr>
        <w:ind w:firstLine="851"/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pritarti </w:t>
      </w:r>
      <w:r w:rsidR="005373CB" w:rsidRPr="00491737">
        <w:rPr>
          <w:sz w:val="24"/>
          <w:szCs w:val="24"/>
          <w:lang w:val="lt-LT"/>
        </w:rPr>
        <w:t>viešosios įstaigos Juodupės komunalinio ūkio</w:t>
      </w:r>
      <w:r w:rsidRPr="00491737">
        <w:rPr>
          <w:sz w:val="24"/>
          <w:szCs w:val="24"/>
          <w:lang w:val="lt-LT"/>
        </w:rPr>
        <w:t xml:space="preserve"> 201</w:t>
      </w:r>
      <w:r w:rsidR="005373CB" w:rsidRPr="00491737">
        <w:rPr>
          <w:sz w:val="24"/>
          <w:szCs w:val="24"/>
          <w:lang w:val="lt-LT"/>
        </w:rPr>
        <w:t>7</w:t>
      </w:r>
      <w:r w:rsidR="00280F80">
        <w:rPr>
          <w:sz w:val="24"/>
          <w:szCs w:val="24"/>
          <w:lang w:val="lt-LT"/>
        </w:rPr>
        <w:t xml:space="preserve"> metų direktoriaus</w:t>
      </w:r>
      <w:r w:rsidRPr="00491737">
        <w:rPr>
          <w:sz w:val="24"/>
          <w:szCs w:val="24"/>
          <w:lang w:val="lt-LT"/>
        </w:rPr>
        <w:t xml:space="preserve"> veiklos ataskaitai (pridedama).</w:t>
      </w:r>
    </w:p>
    <w:p w:rsidR="00280C26" w:rsidRPr="00280F80" w:rsidRDefault="00280F80" w:rsidP="00280C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Sprendimas </w:t>
      </w:r>
      <w:r w:rsidR="00280C26" w:rsidRPr="00280F80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83D1A" w:rsidRDefault="00A83D1A" w:rsidP="00A83D1A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D24487">
      <w:pPr>
        <w:ind w:firstLine="720"/>
        <w:jc w:val="both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Savivaldybės meras</w:t>
      </w:r>
      <w:r w:rsidRPr="00491737">
        <w:rPr>
          <w:sz w:val="24"/>
          <w:szCs w:val="24"/>
          <w:lang w:val="lt-LT"/>
        </w:rPr>
        <w:tab/>
      </w:r>
      <w:r w:rsidRPr="00491737">
        <w:rPr>
          <w:sz w:val="24"/>
          <w:szCs w:val="24"/>
          <w:lang w:val="lt-LT"/>
        </w:rPr>
        <w:tab/>
      </w:r>
      <w:r w:rsidRPr="00491737">
        <w:rPr>
          <w:sz w:val="24"/>
          <w:szCs w:val="24"/>
          <w:lang w:val="lt-LT"/>
        </w:rPr>
        <w:tab/>
      </w:r>
      <w:r w:rsidRPr="00491737">
        <w:rPr>
          <w:sz w:val="24"/>
          <w:szCs w:val="24"/>
          <w:lang w:val="lt-LT"/>
        </w:rPr>
        <w:tab/>
      </w:r>
      <w:r w:rsidRPr="00491737">
        <w:rPr>
          <w:sz w:val="24"/>
          <w:szCs w:val="24"/>
          <w:lang w:val="lt-LT"/>
        </w:rPr>
        <w:tab/>
      </w:r>
      <w:r w:rsidRPr="00491737">
        <w:rPr>
          <w:sz w:val="24"/>
          <w:szCs w:val="24"/>
          <w:lang w:val="lt-LT"/>
        </w:rPr>
        <w:tab/>
      </w:r>
      <w:r w:rsidRPr="00491737">
        <w:rPr>
          <w:sz w:val="24"/>
          <w:szCs w:val="24"/>
          <w:lang w:val="lt-LT"/>
        </w:rPr>
        <w:tab/>
      </w:r>
      <w:r w:rsidRPr="00491737">
        <w:rPr>
          <w:sz w:val="24"/>
          <w:szCs w:val="24"/>
          <w:lang w:val="lt-LT"/>
        </w:rPr>
        <w:tab/>
        <w:t>Antanas Vagonis</w:t>
      </w: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187088" w:rsidP="00187088">
      <w:pPr>
        <w:ind w:right="197"/>
        <w:rPr>
          <w:sz w:val="24"/>
          <w:szCs w:val="24"/>
          <w:lang w:val="lt-LT"/>
        </w:rPr>
      </w:pPr>
    </w:p>
    <w:p w:rsidR="00A36941" w:rsidRDefault="00A36941" w:rsidP="00187088">
      <w:pPr>
        <w:ind w:right="197"/>
        <w:rPr>
          <w:sz w:val="24"/>
          <w:szCs w:val="24"/>
          <w:lang w:val="lt-LT"/>
        </w:rPr>
      </w:pPr>
    </w:p>
    <w:p w:rsidR="00280F80" w:rsidRDefault="00280F80" w:rsidP="00187088">
      <w:pPr>
        <w:ind w:right="197"/>
        <w:rPr>
          <w:sz w:val="24"/>
          <w:szCs w:val="24"/>
          <w:lang w:val="lt-LT"/>
        </w:rPr>
      </w:pPr>
    </w:p>
    <w:p w:rsidR="00280F80" w:rsidRDefault="00280F80" w:rsidP="00187088">
      <w:pPr>
        <w:ind w:right="197"/>
        <w:rPr>
          <w:sz w:val="24"/>
          <w:szCs w:val="24"/>
          <w:lang w:val="lt-LT"/>
        </w:rPr>
      </w:pPr>
    </w:p>
    <w:p w:rsidR="00280F80" w:rsidRPr="00491737" w:rsidRDefault="00280F80" w:rsidP="00187088">
      <w:pPr>
        <w:ind w:right="197"/>
        <w:rPr>
          <w:sz w:val="24"/>
          <w:szCs w:val="24"/>
          <w:lang w:val="lt-LT"/>
        </w:rPr>
      </w:pPr>
    </w:p>
    <w:p w:rsidR="00A36941" w:rsidRPr="00491737" w:rsidRDefault="00A36941" w:rsidP="00187088">
      <w:pPr>
        <w:ind w:right="197"/>
        <w:rPr>
          <w:sz w:val="24"/>
          <w:szCs w:val="24"/>
          <w:lang w:val="lt-LT"/>
        </w:rPr>
      </w:pPr>
    </w:p>
    <w:p w:rsidR="00A36941" w:rsidRPr="00491737" w:rsidRDefault="00A36941" w:rsidP="00187088">
      <w:pPr>
        <w:ind w:right="197"/>
        <w:rPr>
          <w:sz w:val="24"/>
          <w:szCs w:val="24"/>
          <w:lang w:val="lt-LT"/>
        </w:rPr>
      </w:pPr>
    </w:p>
    <w:p w:rsidR="00A36941" w:rsidRPr="00491737" w:rsidRDefault="00A36941" w:rsidP="00187088">
      <w:pPr>
        <w:ind w:right="197"/>
        <w:rPr>
          <w:sz w:val="24"/>
          <w:szCs w:val="24"/>
          <w:lang w:val="lt-LT"/>
        </w:rPr>
      </w:pPr>
    </w:p>
    <w:p w:rsidR="00A36941" w:rsidRPr="00491737" w:rsidRDefault="00A36941" w:rsidP="00187088">
      <w:pPr>
        <w:ind w:right="197"/>
        <w:rPr>
          <w:sz w:val="24"/>
          <w:szCs w:val="24"/>
          <w:lang w:val="lt-LT"/>
        </w:rPr>
      </w:pPr>
    </w:p>
    <w:p w:rsidR="00A36941" w:rsidRPr="00491737" w:rsidRDefault="00A36941" w:rsidP="00187088">
      <w:pPr>
        <w:ind w:right="197"/>
        <w:rPr>
          <w:sz w:val="24"/>
          <w:szCs w:val="24"/>
          <w:lang w:val="lt-LT"/>
        </w:rPr>
      </w:pPr>
    </w:p>
    <w:p w:rsidR="00A36941" w:rsidRPr="00491737" w:rsidRDefault="00A36941" w:rsidP="00187088">
      <w:pPr>
        <w:ind w:right="197"/>
        <w:rPr>
          <w:sz w:val="24"/>
          <w:szCs w:val="24"/>
          <w:lang w:val="lt-LT"/>
        </w:rPr>
      </w:pPr>
    </w:p>
    <w:p w:rsidR="00A36941" w:rsidRPr="00491737" w:rsidRDefault="00A36941" w:rsidP="00187088">
      <w:pPr>
        <w:ind w:right="197"/>
        <w:rPr>
          <w:sz w:val="24"/>
          <w:szCs w:val="24"/>
          <w:lang w:val="lt-LT"/>
        </w:rPr>
      </w:pPr>
    </w:p>
    <w:p w:rsidR="00187088" w:rsidRPr="00491737" w:rsidRDefault="00F42D5C" w:rsidP="00187088">
      <w:pPr>
        <w:ind w:right="197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Rimantas Kirstukas</w:t>
      </w:r>
    </w:p>
    <w:p w:rsidR="00A36941" w:rsidRPr="00491737" w:rsidRDefault="00A36941" w:rsidP="00280F80">
      <w:pPr>
        <w:ind w:left="4952" w:firstLine="720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lastRenderedPageBreak/>
        <w:t xml:space="preserve">PRITARTA </w:t>
      </w:r>
    </w:p>
    <w:p w:rsidR="00A36941" w:rsidRPr="00491737" w:rsidRDefault="00A36941" w:rsidP="00A36941">
      <w:pPr>
        <w:ind w:left="4963" w:firstLine="709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Rokiškio rajono savivaldybės tarybos</w:t>
      </w:r>
    </w:p>
    <w:p w:rsidR="00A36941" w:rsidRPr="00491737" w:rsidRDefault="00A36941" w:rsidP="00A36941">
      <w:pPr>
        <w:ind w:left="4963" w:firstLine="709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2018 m. balandžio 27 d. </w:t>
      </w:r>
    </w:p>
    <w:p w:rsidR="00A36941" w:rsidRPr="00491737" w:rsidRDefault="00A36941" w:rsidP="00A36941">
      <w:pPr>
        <w:ind w:left="4963" w:firstLine="709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sprendimu Nr. TS-</w:t>
      </w:r>
    </w:p>
    <w:p w:rsidR="00A36941" w:rsidRPr="00491737" w:rsidRDefault="00A36941" w:rsidP="00A36941">
      <w:pPr>
        <w:rPr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b/>
          <w:sz w:val="24"/>
          <w:szCs w:val="24"/>
        </w:rPr>
        <w:t>VIEŠOSIOS ĮSTAIGOS JUODUPĖS KOMUNALINIO ŪKIO</w:t>
      </w:r>
    </w:p>
    <w:p w:rsidR="005373CB" w:rsidRPr="00491737" w:rsidRDefault="00280F80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METŲ </w:t>
      </w:r>
      <w:r w:rsidR="005373CB" w:rsidRPr="00491737">
        <w:rPr>
          <w:rFonts w:ascii="Times New Roman" w:hAnsi="Times New Roman"/>
          <w:b/>
          <w:sz w:val="24"/>
          <w:szCs w:val="24"/>
        </w:rPr>
        <w:t>DIREKTORIAUS VEIKLOS ATASKAITA</w:t>
      </w: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b/>
          <w:sz w:val="24"/>
          <w:szCs w:val="24"/>
        </w:rPr>
        <w:t>I. BENDRI DUOMENYS</w:t>
      </w:r>
    </w:p>
    <w:p w:rsidR="005373CB" w:rsidRPr="00491737" w:rsidRDefault="005373CB" w:rsidP="005373CB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Viešoji įstaiga Juodupės komunalinis ūkis: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registracijos data: 2002 metų spalio mėn. 24 d.;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registracijos Nr. VŠ2002-1;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adresas: Pergalės g. 8A, Juodupės mstl., Rokiškio r., LT-42466;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įmonės kodas 173739274.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Dalininko įnašai: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ataskaitinio laikotarpio pradžioje –  874</w:t>
      </w:r>
      <w:r w:rsidR="00491737">
        <w:rPr>
          <w:rFonts w:ascii="Times New Roman" w:hAnsi="Times New Roman"/>
          <w:sz w:val="24"/>
          <w:szCs w:val="24"/>
        </w:rPr>
        <w:t xml:space="preserve"> </w:t>
      </w:r>
      <w:r w:rsidRPr="00491737">
        <w:rPr>
          <w:rFonts w:ascii="Times New Roman" w:hAnsi="Times New Roman"/>
          <w:sz w:val="24"/>
          <w:szCs w:val="24"/>
        </w:rPr>
        <w:t>316 Eur;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ataskaitinio laikotarpio pabaigoje – 924</w:t>
      </w:r>
      <w:r w:rsidR="00491737">
        <w:rPr>
          <w:rFonts w:ascii="Times New Roman" w:hAnsi="Times New Roman"/>
          <w:sz w:val="24"/>
          <w:szCs w:val="24"/>
        </w:rPr>
        <w:t xml:space="preserve">  </w:t>
      </w:r>
      <w:r w:rsidRPr="00491737">
        <w:rPr>
          <w:rFonts w:ascii="Times New Roman" w:hAnsi="Times New Roman"/>
          <w:sz w:val="24"/>
          <w:szCs w:val="24"/>
        </w:rPr>
        <w:t>316 Eur;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padidėjimas – 50 000 Eur  (dalininko įnašas).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Įstaigos dalininkai:  Rokiškio rajono savivaldybė, dalininko dalis - 100 proc.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 xml:space="preserve">Valdymo organai: </w:t>
      </w: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Visuotinis dalininkų susirinkimas. Savininko raštiški sprendimai prilyginami visuotinio  dalininkų susirinkimo sprendimams.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Įstaigos direktorius – vienasmenis valdymo organas.</w:t>
      </w:r>
    </w:p>
    <w:p w:rsidR="005373CB" w:rsidRPr="00491737" w:rsidRDefault="005373CB" w:rsidP="0049173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Įstaigos stebėtojų taryba – patariamasis organas.</w:t>
      </w:r>
    </w:p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b/>
          <w:sz w:val="24"/>
          <w:szCs w:val="24"/>
        </w:rPr>
        <w:t>II. DARBUOTOJAI IR DARBO APMOKĖJIMAS</w:t>
      </w: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Duomenys apie darbuotojų sudėtį ir vidutinį mėnesio darbo užmokestį (bruto) pateikti 1 lentelėje.</w:t>
      </w:r>
    </w:p>
    <w:p w:rsidR="005373CB" w:rsidRPr="00491737" w:rsidRDefault="005373CB" w:rsidP="005373CB">
      <w:pPr>
        <w:pStyle w:val="Betarp"/>
        <w:jc w:val="right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 xml:space="preserve"> 1 lentelė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2693"/>
        <w:gridCol w:w="2800"/>
      </w:tblGrid>
      <w:tr w:rsidR="005373CB" w:rsidRPr="00491737" w:rsidTr="00193420">
        <w:tc>
          <w:tcPr>
            <w:tcW w:w="3717" w:type="dxa"/>
          </w:tcPr>
          <w:p w:rsidR="005373CB" w:rsidRPr="00491737" w:rsidRDefault="005373CB" w:rsidP="00566CC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73CB" w:rsidRPr="00491737" w:rsidRDefault="005373CB" w:rsidP="00566CC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 xml:space="preserve">Darbuotojų skaičius </w:t>
            </w:r>
          </w:p>
        </w:tc>
        <w:tc>
          <w:tcPr>
            <w:tcW w:w="2800" w:type="dxa"/>
          </w:tcPr>
          <w:p w:rsidR="005373CB" w:rsidRPr="00491737" w:rsidRDefault="005373CB" w:rsidP="00566CC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Vidutinis  mėnesio darbo užmokestis, Eur</w:t>
            </w:r>
          </w:p>
        </w:tc>
      </w:tr>
      <w:tr w:rsidR="005373CB" w:rsidRPr="00491737" w:rsidTr="00193420">
        <w:tc>
          <w:tcPr>
            <w:tcW w:w="3717" w:type="dxa"/>
          </w:tcPr>
          <w:p w:rsidR="005373CB" w:rsidRPr="00491737" w:rsidRDefault="005373CB" w:rsidP="0019342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  <w:tc>
          <w:tcPr>
            <w:tcW w:w="2693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1</w:t>
            </w:r>
            <w:r w:rsidR="0019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737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</w:tr>
      <w:tr w:rsidR="005373CB" w:rsidRPr="00491737" w:rsidTr="00193420">
        <w:tc>
          <w:tcPr>
            <w:tcW w:w="3717" w:type="dxa"/>
          </w:tcPr>
          <w:p w:rsidR="005373CB" w:rsidRPr="00491737" w:rsidRDefault="005373CB" w:rsidP="0019342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Administracija, specialistai</w:t>
            </w:r>
          </w:p>
        </w:tc>
        <w:tc>
          <w:tcPr>
            <w:tcW w:w="2693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5373CB" w:rsidRPr="00491737" w:rsidTr="00193420">
        <w:tc>
          <w:tcPr>
            <w:tcW w:w="3717" w:type="dxa"/>
          </w:tcPr>
          <w:p w:rsidR="005373CB" w:rsidRPr="00491737" w:rsidRDefault="005373CB" w:rsidP="0019342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Katilinės operatoriai, remonto darbininkai</w:t>
            </w:r>
          </w:p>
        </w:tc>
        <w:tc>
          <w:tcPr>
            <w:tcW w:w="2693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</w:tr>
      <w:tr w:rsidR="005373CB" w:rsidRPr="00491737" w:rsidTr="00193420">
        <w:trPr>
          <w:trHeight w:val="63"/>
        </w:trPr>
        <w:tc>
          <w:tcPr>
            <w:tcW w:w="3717" w:type="dxa"/>
          </w:tcPr>
          <w:p w:rsidR="005373CB" w:rsidRPr="00491737" w:rsidRDefault="005373CB" w:rsidP="00566CC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693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</w:tcPr>
          <w:p w:rsidR="005373CB" w:rsidRPr="00491737" w:rsidRDefault="005373CB" w:rsidP="0019342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</w:tr>
    </w:tbl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 xml:space="preserve"> </w:t>
      </w:r>
    </w:p>
    <w:p w:rsidR="005373CB" w:rsidRPr="00491737" w:rsidRDefault="005373CB" w:rsidP="00193420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 xml:space="preserve">2017 metais priimtas 1 darbuotojas, atleistas 1 darbuotojas (pensinis amžius). Ataskaitiniu laikotarpiu darbuotojų skaičius buvo stabilus - 22 darbuotojai. </w:t>
      </w:r>
    </w:p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b/>
          <w:sz w:val="24"/>
          <w:szCs w:val="24"/>
        </w:rPr>
        <w:t>III. TURTAS</w:t>
      </w: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Ilgalaikis turtas, tūkst. Eur:</w:t>
      </w:r>
    </w:p>
    <w:p w:rsidR="005373CB" w:rsidRPr="00491737" w:rsidRDefault="00193420" w:rsidP="0049173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373CB" w:rsidRPr="00491737">
        <w:rPr>
          <w:sz w:val="24"/>
          <w:szCs w:val="24"/>
          <w:lang w:val="lt-LT"/>
        </w:rPr>
        <w:t>pastatai ir statiniai – 1</w:t>
      </w:r>
      <w:r>
        <w:rPr>
          <w:sz w:val="24"/>
          <w:szCs w:val="24"/>
          <w:lang w:val="lt-LT"/>
        </w:rPr>
        <w:t xml:space="preserve"> </w:t>
      </w:r>
      <w:r w:rsidR="005373CB" w:rsidRPr="00491737">
        <w:rPr>
          <w:sz w:val="24"/>
          <w:szCs w:val="24"/>
          <w:lang w:val="lt-LT"/>
        </w:rPr>
        <w:t xml:space="preserve">171; </w:t>
      </w:r>
    </w:p>
    <w:p w:rsidR="005373CB" w:rsidRPr="00491737" w:rsidRDefault="00193420" w:rsidP="0049173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373CB" w:rsidRPr="00491737">
        <w:rPr>
          <w:sz w:val="24"/>
          <w:szCs w:val="24"/>
          <w:lang w:val="lt-LT"/>
        </w:rPr>
        <w:t xml:space="preserve">transporto priemonės – 6; </w:t>
      </w:r>
    </w:p>
    <w:p w:rsidR="005373CB" w:rsidRPr="00491737" w:rsidRDefault="00193420" w:rsidP="0049173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373CB" w:rsidRPr="00491737">
        <w:rPr>
          <w:sz w:val="24"/>
          <w:szCs w:val="24"/>
          <w:lang w:val="lt-LT"/>
        </w:rPr>
        <w:t>kita įranga, prietaisai, įrankiai, įrenginiai – 395;</w:t>
      </w:r>
    </w:p>
    <w:p w:rsidR="005373CB" w:rsidRPr="00491737" w:rsidRDefault="00193420" w:rsidP="0049173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373CB" w:rsidRPr="00491737">
        <w:rPr>
          <w:sz w:val="24"/>
          <w:szCs w:val="24"/>
          <w:lang w:val="lt-LT"/>
        </w:rPr>
        <w:t>kitas materialus turtas - 1;</w:t>
      </w:r>
    </w:p>
    <w:p w:rsidR="005373CB" w:rsidRPr="00491737" w:rsidRDefault="00193420" w:rsidP="00491737">
      <w:pPr>
        <w:ind w:firstLine="567"/>
        <w:jc w:val="both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Iš v</w:t>
      </w:r>
      <w:r w:rsidR="005373CB" w:rsidRPr="00491737">
        <w:rPr>
          <w:b/>
          <w:sz w:val="24"/>
          <w:szCs w:val="24"/>
          <w:lang w:val="lt-LT"/>
        </w:rPr>
        <w:t>iso ilgalaikis turtas:</w:t>
      </w:r>
      <w:r w:rsidR="005373CB" w:rsidRPr="00491737">
        <w:rPr>
          <w:sz w:val="24"/>
          <w:szCs w:val="24"/>
          <w:lang w:val="lt-LT"/>
        </w:rPr>
        <w:t xml:space="preserve"> </w:t>
      </w:r>
      <w:r w:rsidR="005373CB" w:rsidRPr="00491737">
        <w:rPr>
          <w:b/>
          <w:bCs/>
          <w:sz w:val="24"/>
          <w:szCs w:val="24"/>
          <w:lang w:val="lt-LT"/>
        </w:rPr>
        <w:t>1</w:t>
      </w:r>
      <w:r>
        <w:rPr>
          <w:b/>
          <w:bCs/>
          <w:sz w:val="24"/>
          <w:szCs w:val="24"/>
          <w:lang w:val="lt-LT"/>
        </w:rPr>
        <w:t xml:space="preserve"> </w:t>
      </w:r>
      <w:r w:rsidR="005373CB" w:rsidRPr="00491737">
        <w:rPr>
          <w:b/>
          <w:bCs/>
          <w:sz w:val="24"/>
          <w:szCs w:val="24"/>
          <w:lang w:val="lt-LT"/>
        </w:rPr>
        <w:t xml:space="preserve">573. </w:t>
      </w:r>
    </w:p>
    <w:p w:rsidR="005373CB" w:rsidRPr="00491737" w:rsidRDefault="005373CB" w:rsidP="00491737">
      <w:pPr>
        <w:ind w:firstLine="567"/>
        <w:jc w:val="both"/>
        <w:rPr>
          <w:sz w:val="24"/>
          <w:szCs w:val="24"/>
          <w:lang w:val="lt-LT"/>
        </w:rPr>
      </w:pPr>
    </w:p>
    <w:p w:rsidR="005373CB" w:rsidRPr="00491737" w:rsidRDefault="005373CB" w:rsidP="00491737">
      <w:pPr>
        <w:ind w:firstLine="567"/>
        <w:jc w:val="both"/>
        <w:rPr>
          <w:bCs/>
          <w:sz w:val="24"/>
          <w:szCs w:val="24"/>
          <w:lang w:val="lt-LT"/>
        </w:rPr>
      </w:pPr>
      <w:r w:rsidRPr="00491737">
        <w:rPr>
          <w:bCs/>
          <w:sz w:val="24"/>
          <w:szCs w:val="24"/>
          <w:lang w:val="lt-LT"/>
        </w:rPr>
        <w:lastRenderedPageBreak/>
        <w:t xml:space="preserve">Trumpalaikis turtas, tūkst. Eur:   </w:t>
      </w:r>
    </w:p>
    <w:p w:rsidR="005373CB" w:rsidRPr="00491737" w:rsidRDefault="00193420" w:rsidP="00491737">
      <w:pPr>
        <w:ind w:firstLine="567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5373CB" w:rsidRPr="00491737">
        <w:rPr>
          <w:bCs/>
          <w:sz w:val="24"/>
          <w:szCs w:val="24"/>
          <w:lang w:val="lt-LT"/>
        </w:rPr>
        <w:t xml:space="preserve">atsargos – 14; </w:t>
      </w:r>
    </w:p>
    <w:p w:rsidR="005373CB" w:rsidRPr="00491737" w:rsidRDefault="00193420" w:rsidP="00491737">
      <w:pPr>
        <w:ind w:firstLine="567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5373CB" w:rsidRPr="00491737">
        <w:rPr>
          <w:bCs/>
          <w:sz w:val="24"/>
          <w:szCs w:val="24"/>
          <w:lang w:val="lt-LT"/>
        </w:rPr>
        <w:t xml:space="preserve">pirkėjų skolos –208;                                                                   </w:t>
      </w:r>
    </w:p>
    <w:p w:rsidR="005373CB" w:rsidRPr="00491737" w:rsidRDefault="00193420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 xml:space="preserve">piniginės lėšos </w:t>
      </w:r>
      <w:r w:rsidR="005373CB" w:rsidRPr="00491737">
        <w:rPr>
          <w:rFonts w:ascii="Times New Roman" w:hAnsi="Times New Roman"/>
          <w:bCs/>
          <w:sz w:val="24"/>
          <w:szCs w:val="24"/>
          <w:lang w:eastAsia="lt-LT"/>
        </w:rPr>
        <w:t>–</w:t>
      </w:r>
      <w:r w:rsidR="005373CB" w:rsidRPr="00491737">
        <w:rPr>
          <w:rFonts w:ascii="Times New Roman" w:hAnsi="Times New Roman"/>
          <w:sz w:val="24"/>
          <w:szCs w:val="24"/>
        </w:rPr>
        <w:t xml:space="preserve"> 40;    </w:t>
      </w:r>
    </w:p>
    <w:p w:rsidR="005373CB" w:rsidRPr="00491737" w:rsidRDefault="00193420" w:rsidP="00491737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Iš v</w:t>
      </w:r>
      <w:r w:rsidR="005373CB" w:rsidRPr="00491737">
        <w:rPr>
          <w:rFonts w:ascii="Times New Roman" w:hAnsi="Times New Roman"/>
          <w:b/>
          <w:sz w:val="24"/>
          <w:szCs w:val="24"/>
        </w:rPr>
        <w:t xml:space="preserve">iso trumpalaikis turtas: 262. </w:t>
      </w: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b/>
          <w:sz w:val="24"/>
          <w:szCs w:val="24"/>
        </w:rPr>
        <w:t>Iš viso turtas: 1</w:t>
      </w:r>
      <w:r w:rsidR="00193420">
        <w:rPr>
          <w:rFonts w:ascii="Times New Roman" w:hAnsi="Times New Roman"/>
          <w:b/>
          <w:sz w:val="24"/>
          <w:szCs w:val="24"/>
        </w:rPr>
        <w:t xml:space="preserve"> </w:t>
      </w:r>
      <w:r w:rsidRPr="00491737">
        <w:rPr>
          <w:rFonts w:ascii="Times New Roman" w:hAnsi="Times New Roman"/>
          <w:b/>
          <w:sz w:val="24"/>
          <w:szCs w:val="24"/>
        </w:rPr>
        <w:t>835 tūkst. Eur</w:t>
      </w:r>
      <w:r w:rsidR="00193420">
        <w:rPr>
          <w:rFonts w:ascii="Times New Roman" w:hAnsi="Times New Roman"/>
          <w:b/>
          <w:sz w:val="24"/>
          <w:szCs w:val="24"/>
        </w:rPr>
        <w:t>.</w:t>
      </w: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Informacija apie įsigytą, nurašytą turtą,  tūkst. Eur:</w:t>
      </w:r>
    </w:p>
    <w:p w:rsidR="005373CB" w:rsidRPr="00491737" w:rsidRDefault="00193420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>2017 metais buvo pirkta:</w:t>
      </w:r>
      <w:r>
        <w:rPr>
          <w:rFonts w:ascii="Times New Roman" w:hAnsi="Times New Roman"/>
          <w:sz w:val="24"/>
          <w:szCs w:val="24"/>
        </w:rPr>
        <w:t xml:space="preserve"> g</w:t>
      </w:r>
      <w:r w:rsidR="005373CB" w:rsidRPr="00491737">
        <w:rPr>
          <w:rFonts w:ascii="Times New Roman" w:hAnsi="Times New Roman"/>
          <w:sz w:val="24"/>
          <w:szCs w:val="24"/>
        </w:rPr>
        <w:t>riebtuvas medienai, vertė 0,8 tūkst. Eurų.</w:t>
      </w: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2017 metais turto nurašyta nėra.</w:t>
      </w:r>
    </w:p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b/>
          <w:sz w:val="24"/>
          <w:szCs w:val="24"/>
        </w:rPr>
        <w:t>IV. ŪKINĖ   VEIKLA, FINANSINIAI VEIKLOS  RODIKLIAI</w:t>
      </w: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5373CB" w:rsidRPr="00491737" w:rsidRDefault="005373CB" w:rsidP="005373CB">
      <w:pPr>
        <w:pStyle w:val="Betarp"/>
        <w:jc w:val="right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tūkst. Eur</w:t>
      </w:r>
      <w:r w:rsidRPr="00491737">
        <w:rPr>
          <w:rFonts w:ascii="Times New Roman" w:hAnsi="Times New Roman"/>
          <w:sz w:val="24"/>
          <w:szCs w:val="24"/>
        </w:rPr>
        <w:tab/>
      </w:r>
    </w:p>
    <w:tbl>
      <w:tblPr>
        <w:tblW w:w="9090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136"/>
        <w:gridCol w:w="1633"/>
        <w:gridCol w:w="1344"/>
        <w:gridCol w:w="1276"/>
        <w:gridCol w:w="1701"/>
      </w:tblGrid>
      <w:tr w:rsidR="005373CB" w:rsidRPr="00491737" w:rsidTr="00193420">
        <w:trPr>
          <w:trHeight w:val="52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Pagrindiniai rodikliai</w:t>
            </w: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Namų eksploatacija, transportas</w:t>
            </w: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Šilumos ūkis</w:t>
            </w: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Kita veikla</w:t>
            </w: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5373CB" w:rsidRPr="00491737" w:rsidRDefault="005373CB" w:rsidP="00566CC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</w:tr>
      <w:tr w:rsidR="005373CB" w:rsidRPr="00491737" w:rsidTr="00193420">
        <w:trPr>
          <w:trHeight w:val="36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 xml:space="preserve">Pajamos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38,0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454,3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Sąnaudos iš viso: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49,4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442,8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darbo užmokestis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28,1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190,4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soc. draudimas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8,7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59,2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ilgalaikio turto nusidėvėjimas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0,8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50,8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medžiagos, atsarginės dalys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7,6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kuras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80,4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elektra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22,9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10,4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palūkanos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1,6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mokesčiai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1,8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kitos sąnaudos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color w:val="000000"/>
                <w:sz w:val="24"/>
                <w:szCs w:val="24"/>
                <w:lang w:val="lt-LT"/>
              </w:rPr>
              <w:t>17,7</w:t>
            </w:r>
          </w:p>
        </w:tc>
      </w:tr>
      <w:tr w:rsidR="005373CB" w:rsidRPr="00491737" w:rsidTr="0019342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566CC0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Veiklos rezultatas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-11,4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CB" w:rsidRPr="00491737" w:rsidRDefault="005373CB" w:rsidP="00193420">
            <w:pPr>
              <w:jc w:val="right"/>
              <w:rPr>
                <w:b/>
                <w:color w:val="000000"/>
                <w:sz w:val="24"/>
                <w:szCs w:val="24"/>
                <w:lang w:val="lt-LT"/>
              </w:rPr>
            </w:pPr>
            <w:r w:rsidRPr="00491737">
              <w:rPr>
                <w:b/>
                <w:color w:val="000000"/>
                <w:sz w:val="24"/>
                <w:szCs w:val="24"/>
                <w:lang w:val="lt-LT"/>
              </w:rPr>
              <w:t>11,5</w:t>
            </w:r>
          </w:p>
        </w:tc>
      </w:tr>
    </w:tbl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Pagrindinė veikla: šilumos ir karšto vandens gamyba. Pokyčiai lyginant su 2016  metais:</w:t>
      </w:r>
    </w:p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ab/>
        <w:t>pajamos sumažėjo 5,8 tūkst. Eur arba 1,3 proc.;</w:t>
      </w:r>
    </w:p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ab/>
        <w:t>sąnaudos  padidėjo 3,1 tūkst. Eur arba 0,7 proc.;</w:t>
      </w:r>
    </w:p>
    <w:p w:rsidR="00193420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ab/>
      </w:r>
    </w:p>
    <w:p w:rsidR="005373CB" w:rsidRPr="00491737" w:rsidRDefault="005373CB" w:rsidP="00193420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Pajamų sumažėjimas susidarė dėl mažesnio šiluminės energijos poreikio; sąnaudų padidėjimą sąlygojo darbo užmokesčio didėjimas, katilinės kuro brangimas.</w:t>
      </w:r>
    </w:p>
    <w:p w:rsidR="00193420" w:rsidRDefault="00193420" w:rsidP="005373CB">
      <w:pPr>
        <w:pStyle w:val="Betarp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193420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Šildymo ir karšto vandens kaina patvirtinta (be pakeitimų)  2016-02-19:</w:t>
      </w:r>
    </w:p>
    <w:p w:rsidR="005373CB" w:rsidRPr="00491737" w:rsidRDefault="005373CB" w:rsidP="005373CB">
      <w:pPr>
        <w:pStyle w:val="Betarp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ab/>
        <w:t>7,8 ct/kWh šildymui, taikoma nuo 2010-03-01;</w:t>
      </w:r>
    </w:p>
    <w:p w:rsidR="00425121" w:rsidRDefault="005373CB" w:rsidP="00280F80">
      <w:pPr>
        <w:pStyle w:val="Betarp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ab/>
        <w:t>5,7 Eur/m³ karštam vandeniui, taikoma nuo 2013-03-01.</w:t>
      </w:r>
    </w:p>
    <w:p w:rsidR="00280F80" w:rsidRDefault="00280F80" w:rsidP="00280F80">
      <w:pPr>
        <w:pStyle w:val="Betarp"/>
        <w:rPr>
          <w:rFonts w:ascii="Times New Roman" w:hAnsi="Times New Roman"/>
          <w:sz w:val="24"/>
          <w:szCs w:val="24"/>
        </w:rPr>
      </w:pPr>
    </w:p>
    <w:p w:rsidR="00280F80" w:rsidRDefault="00280F80" w:rsidP="00280F80">
      <w:pPr>
        <w:pStyle w:val="Betarp"/>
        <w:rPr>
          <w:rFonts w:ascii="Times New Roman" w:hAnsi="Times New Roman"/>
          <w:sz w:val="24"/>
          <w:szCs w:val="24"/>
        </w:rPr>
      </w:pPr>
    </w:p>
    <w:p w:rsidR="00280F80" w:rsidRDefault="00280F80" w:rsidP="00280F80">
      <w:pPr>
        <w:pStyle w:val="Betarp"/>
        <w:rPr>
          <w:rFonts w:ascii="Times New Roman" w:hAnsi="Times New Roman"/>
          <w:sz w:val="24"/>
          <w:szCs w:val="24"/>
        </w:rPr>
      </w:pPr>
    </w:p>
    <w:p w:rsidR="00280F80" w:rsidRDefault="00280F80" w:rsidP="00280F80">
      <w:pPr>
        <w:pStyle w:val="Betarp"/>
        <w:rPr>
          <w:rFonts w:ascii="Times New Roman" w:hAnsi="Times New Roman"/>
          <w:sz w:val="24"/>
          <w:szCs w:val="24"/>
        </w:rPr>
      </w:pPr>
    </w:p>
    <w:p w:rsidR="00280F80" w:rsidRDefault="00280F80" w:rsidP="00280F80">
      <w:pPr>
        <w:pStyle w:val="Betarp"/>
        <w:rPr>
          <w:rFonts w:ascii="Times New Roman" w:hAnsi="Times New Roman"/>
          <w:sz w:val="24"/>
          <w:szCs w:val="24"/>
        </w:rPr>
      </w:pPr>
    </w:p>
    <w:p w:rsidR="00280F80" w:rsidRDefault="00280F80" w:rsidP="00280F80">
      <w:pPr>
        <w:pStyle w:val="Betarp"/>
        <w:rPr>
          <w:rFonts w:ascii="Times New Roman" w:hAnsi="Times New Roman"/>
          <w:sz w:val="24"/>
          <w:szCs w:val="24"/>
        </w:rPr>
      </w:pPr>
    </w:p>
    <w:p w:rsidR="00280F80" w:rsidRDefault="00280F80" w:rsidP="00280F80">
      <w:pPr>
        <w:pStyle w:val="Betarp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lastRenderedPageBreak/>
        <w:t xml:space="preserve">Priskaičiuoti ir sumokėti mokesčiai:  </w:t>
      </w:r>
    </w:p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ab/>
      </w:r>
      <w:r w:rsidRPr="00491737">
        <w:rPr>
          <w:rFonts w:ascii="Times New Roman" w:hAnsi="Times New Roman"/>
          <w:sz w:val="24"/>
          <w:szCs w:val="24"/>
        </w:rPr>
        <w:tab/>
      </w:r>
      <w:r w:rsidRPr="00491737">
        <w:rPr>
          <w:rFonts w:ascii="Times New Roman" w:hAnsi="Times New Roman"/>
          <w:sz w:val="24"/>
          <w:szCs w:val="24"/>
        </w:rPr>
        <w:tab/>
      </w:r>
      <w:r w:rsidRPr="00491737">
        <w:rPr>
          <w:rFonts w:ascii="Times New Roman" w:hAnsi="Times New Roman"/>
          <w:sz w:val="24"/>
          <w:szCs w:val="24"/>
        </w:rPr>
        <w:tab/>
      </w:r>
      <w:r w:rsidRPr="00491737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25121">
        <w:rPr>
          <w:rFonts w:ascii="Times New Roman" w:hAnsi="Times New Roman"/>
          <w:sz w:val="24"/>
          <w:szCs w:val="24"/>
        </w:rPr>
        <w:tab/>
      </w:r>
      <w:r w:rsidR="00425121">
        <w:rPr>
          <w:rFonts w:ascii="Times New Roman" w:hAnsi="Times New Roman"/>
          <w:sz w:val="24"/>
          <w:szCs w:val="24"/>
        </w:rPr>
        <w:tab/>
      </w:r>
      <w:r w:rsidR="00425121">
        <w:rPr>
          <w:rFonts w:ascii="Times New Roman" w:hAnsi="Times New Roman"/>
          <w:sz w:val="24"/>
          <w:szCs w:val="24"/>
        </w:rPr>
        <w:tab/>
      </w:r>
      <w:r w:rsidR="00425121">
        <w:rPr>
          <w:rFonts w:ascii="Times New Roman" w:hAnsi="Times New Roman"/>
          <w:sz w:val="24"/>
          <w:szCs w:val="24"/>
        </w:rPr>
        <w:tab/>
      </w:r>
      <w:r w:rsidR="00425121">
        <w:rPr>
          <w:rFonts w:ascii="Times New Roman" w:hAnsi="Times New Roman"/>
          <w:sz w:val="24"/>
          <w:szCs w:val="24"/>
        </w:rPr>
        <w:tab/>
      </w:r>
      <w:r w:rsidRPr="00491737">
        <w:rPr>
          <w:rFonts w:ascii="Times New Roman" w:hAnsi="Times New Roman"/>
          <w:sz w:val="24"/>
          <w:szCs w:val="24"/>
        </w:rPr>
        <w:t>tūkst. Eur</w:t>
      </w: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1230"/>
        <w:gridCol w:w="1176"/>
        <w:gridCol w:w="1102"/>
        <w:gridCol w:w="1197"/>
        <w:gridCol w:w="1190"/>
        <w:gridCol w:w="1136"/>
        <w:gridCol w:w="756"/>
      </w:tblGrid>
      <w:tr w:rsidR="005373CB" w:rsidRPr="00491737" w:rsidTr="00425121">
        <w:tc>
          <w:tcPr>
            <w:tcW w:w="1532" w:type="dxa"/>
          </w:tcPr>
          <w:p w:rsidR="005373CB" w:rsidRPr="00491737" w:rsidRDefault="005373CB" w:rsidP="00566CC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373CB" w:rsidRPr="00491737" w:rsidRDefault="005373CB" w:rsidP="000212C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Gyventojų pajamų mokesčio</w:t>
            </w:r>
          </w:p>
        </w:tc>
        <w:tc>
          <w:tcPr>
            <w:tcW w:w="1176" w:type="dxa"/>
          </w:tcPr>
          <w:p w:rsidR="005373CB" w:rsidRPr="00491737" w:rsidRDefault="005373CB" w:rsidP="000212C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Pridėtinės vertės mokesčio</w:t>
            </w:r>
          </w:p>
        </w:tc>
        <w:tc>
          <w:tcPr>
            <w:tcW w:w="1102" w:type="dxa"/>
          </w:tcPr>
          <w:p w:rsidR="005373CB" w:rsidRPr="00491737" w:rsidRDefault="005373CB" w:rsidP="000212C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Taršos mokestis</w:t>
            </w:r>
          </w:p>
        </w:tc>
        <w:tc>
          <w:tcPr>
            <w:tcW w:w="1197" w:type="dxa"/>
          </w:tcPr>
          <w:p w:rsidR="005373CB" w:rsidRPr="00491737" w:rsidRDefault="005373CB" w:rsidP="000212C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Nekilnojamojo turto mokesčio</w:t>
            </w:r>
          </w:p>
        </w:tc>
        <w:tc>
          <w:tcPr>
            <w:tcW w:w="1190" w:type="dxa"/>
          </w:tcPr>
          <w:p w:rsidR="005373CB" w:rsidRPr="00491737" w:rsidRDefault="005373CB" w:rsidP="000212C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Socialinio draudimo mokesčio</w:t>
            </w:r>
          </w:p>
        </w:tc>
        <w:tc>
          <w:tcPr>
            <w:tcW w:w="1136" w:type="dxa"/>
          </w:tcPr>
          <w:p w:rsidR="005373CB" w:rsidRPr="00491737" w:rsidRDefault="005373CB" w:rsidP="000212C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Kitų mokesčių</w:t>
            </w:r>
          </w:p>
        </w:tc>
        <w:tc>
          <w:tcPr>
            <w:tcW w:w="756" w:type="dxa"/>
          </w:tcPr>
          <w:p w:rsidR="005373CB" w:rsidRPr="00491737" w:rsidRDefault="005373CB" w:rsidP="000212C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</w:tr>
      <w:tr w:rsidR="005373CB" w:rsidRPr="00491737" w:rsidTr="00425121">
        <w:tc>
          <w:tcPr>
            <w:tcW w:w="1532" w:type="dxa"/>
          </w:tcPr>
          <w:p w:rsidR="005373CB" w:rsidRPr="00491737" w:rsidRDefault="005373CB" w:rsidP="00566CC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Priskaičiuota</w:t>
            </w:r>
          </w:p>
        </w:tc>
        <w:tc>
          <w:tcPr>
            <w:tcW w:w="1230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76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02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7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90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136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</w:tr>
      <w:tr w:rsidR="005373CB" w:rsidRPr="00491737" w:rsidTr="00425121">
        <w:tc>
          <w:tcPr>
            <w:tcW w:w="1532" w:type="dxa"/>
          </w:tcPr>
          <w:p w:rsidR="005373CB" w:rsidRPr="00491737" w:rsidRDefault="005373CB" w:rsidP="00566CC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Sumokėta</w:t>
            </w:r>
          </w:p>
        </w:tc>
        <w:tc>
          <w:tcPr>
            <w:tcW w:w="1230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76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02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7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90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136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</w:tcPr>
          <w:p w:rsidR="005373CB" w:rsidRPr="00491737" w:rsidRDefault="005373CB" w:rsidP="00425121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737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</w:tr>
    </w:tbl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Informacija apie debitorinį ir kreditorinį įsiskolinimą (tūkst. Eur):</w:t>
      </w: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5373CB" w:rsidRPr="00491737">
        <w:rPr>
          <w:rFonts w:ascii="Times New Roman" w:hAnsi="Times New Roman"/>
          <w:sz w:val="24"/>
          <w:szCs w:val="24"/>
        </w:rPr>
        <w:t xml:space="preserve">ebitorinis įsiskolinimas 2017-12-31 iš viso: 208,0; </w:t>
      </w: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>iš to skaičiaus: gyventojai – 159,1;</w:t>
      </w: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>Rokiškio r. savivaldybė – 33,2;</w:t>
      </w: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>Juodupės vaikų  darželis  –  5,8</w:t>
      </w:r>
      <w:r>
        <w:rPr>
          <w:rFonts w:ascii="Times New Roman" w:hAnsi="Times New Roman"/>
          <w:sz w:val="24"/>
          <w:szCs w:val="24"/>
        </w:rPr>
        <w:t>.</w:t>
      </w:r>
    </w:p>
    <w:p w:rsidR="00491737" w:rsidRPr="00491737" w:rsidRDefault="00491737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</w:t>
      </w:r>
      <w:r w:rsidR="005373CB" w:rsidRPr="00491737">
        <w:rPr>
          <w:rFonts w:ascii="Times New Roman" w:hAnsi="Times New Roman"/>
          <w:sz w:val="24"/>
          <w:szCs w:val="24"/>
        </w:rPr>
        <w:t>reditorinis įsiskolinimas 2017-12-31 iš viso: 43,2;</w:t>
      </w: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 xml:space="preserve">iš to skaičiaus: AB „Durpeta“ – 25,7;  </w:t>
      </w: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 xml:space="preserve">UAB ,,Imlitex“ – 1,6; </w:t>
      </w:r>
    </w:p>
    <w:p w:rsidR="005373CB" w:rsidRPr="00491737" w:rsidRDefault="000212CC" w:rsidP="0049173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3CB" w:rsidRPr="00491737">
        <w:rPr>
          <w:rFonts w:ascii="Times New Roman" w:hAnsi="Times New Roman"/>
          <w:sz w:val="24"/>
          <w:szCs w:val="24"/>
        </w:rPr>
        <w:t xml:space="preserve">AB ,,Energijos skirstymo operatorius“ – 2. </w:t>
      </w:r>
    </w:p>
    <w:p w:rsidR="005373CB" w:rsidRPr="00491737" w:rsidRDefault="005373CB" w:rsidP="005373C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91737">
        <w:rPr>
          <w:rFonts w:ascii="Times New Roman" w:hAnsi="Times New Roman"/>
          <w:b/>
          <w:sz w:val="24"/>
          <w:szCs w:val="24"/>
        </w:rPr>
        <w:t>V. VEIKLOS PLANAI IR PROGNOZĖS</w:t>
      </w:r>
    </w:p>
    <w:p w:rsidR="005373CB" w:rsidRPr="00491737" w:rsidRDefault="005373CB" w:rsidP="005373CB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0762C8" w:rsidRDefault="005373CB" w:rsidP="000762C8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 xml:space="preserve">Įstaigos veiklos pokyčiai lyginant su ankstesniais metais nežymūs, išskyrus vieną svarbų </w:t>
      </w:r>
      <w:r w:rsidR="000762C8">
        <w:rPr>
          <w:rFonts w:ascii="Times New Roman" w:hAnsi="Times New Roman"/>
          <w:sz w:val="24"/>
          <w:szCs w:val="24"/>
        </w:rPr>
        <w:t xml:space="preserve"> </w:t>
      </w:r>
      <w:r w:rsidRPr="00491737">
        <w:rPr>
          <w:rFonts w:ascii="Times New Roman" w:hAnsi="Times New Roman"/>
          <w:sz w:val="24"/>
          <w:szCs w:val="24"/>
        </w:rPr>
        <w:t xml:space="preserve">įvykį – baigta mokėti dešimties metų trukmės paskola, skirta naujos katilinės Juodupės miestelyje statybai. </w:t>
      </w:r>
    </w:p>
    <w:p w:rsidR="005373CB" w:rsidRPr="00491737" w:rsidRDefault="005373CB" w:rsidP="000762C8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Ateities planai: mokėti įstaigos darbuotojams konkurencingą atlyginimą, laiku ir tinkamai pasirengti pagrindinio katilo kapitaliniam remontui; dėl griežtinamų iškastinio kuro deginimo aplinkosauginių reikalavimų turėti planą atsisakyti šios kuro rūšies (durpių).</w:t>
      </w:r>
    </w:p>
    <w:p w:rsidR="005373CB" w:rsidRPr="00491737" w:rsidRDefault="005373CB" w:rsidP="005373CB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91737">
        <w:rPr>
          <w:rFonts w:ascii="Times New Roman" w:hAnsi="Times New Roman"/>
          <w:sz w:val="24"/>
          <w:szCs w:val="24"/>
        </w:rPr>
        <w:t>_________________</w:t>
      </w: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5373CB" w:rsidRPr="00491737" w:rsidRDefault="005373CB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491737" w:rsidRDefault="00491737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491737" w:rsidRDefault="00491737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491737" w:rsidRDefault="00491737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:rsidR="00932F6C" w:rsidRPr="00491737" w:rsidRDefault="00932F6C" w:rsidP="00932F6C">
      <w:pPr>
        <w:ind w:firstLine="720"/>
        <w:jc w:val="both"/>
        <w:rPr>
          <w:b/>
          <w:sz w:val="24"/>
          <w:szCs w:val="24"/>
          <w:lang w:val="lt-LT"/>
        </w:rPr>
      </w:pPr>
      <w:r w:rsidRPr="00491737">
        <w:rPr>
          <w:b/>
          <w:sz w:val="24"/>
          <w:szCs w:val="24"/>
          <w:lang w:val="lt-LT"/>
        </w:rPr>
        <w:lastRenderedPageBreak/>
        <w:t>Rokiškio rajono savivaldybės tarybai</w:t>
      </w:r>
    </w:p>
    <w:p w:rsidR="00932F6C" w:rsidRPr="00491737" w:rsidRDefault="00932F6C" w:rsidP="00932F6C">
      <w:pPr>
        <w:ind w:firstLine="720"/>
        <w:jc w:val="center"/>
        <w:rPr>
          <w:b/>
          <w:sz w:val="24"/>
          <w:szCs w:val="24"/>
          <w:lang w:val="lt-LT"/>
        </w:rPr>
      </w:pPr>
    </w:p>
    <w:p w:rsidR="00932F6C" w:rsidRPr="00491737" w:rsidRDefault="00932F6C" w:rsidP="00932F6C">
      <w:pPr>
        <w:ind w:firstLine="720"/>
        <w:jc w:val="center"/>
        <w:rPr>
          <w:b/>
          <w:sz w:val="24"/>
          <w:szCs w:val="24"/>
          <w:lang w:val="lt-LT"/>
        </w:rPr>
      </w:pPr>
      <w:r w:rsidRPr="00491737">
        <w:rPr>
          <w:b/>
          <w:sz w:val="24"/>
          <w:szCs w:val="24"/>
          <w:lang w:val="lt-LT"/>
        </w:rPr>
        <w:t>AIŠKINAMASIS RAŠTAS</w:t>
      </w:r>
    </w:p>
    <w:p w:rsidR="00932F6C" w:rsidRPr="004B5B87" w:rsidRDefault="00932F6C" w:rsidP="004B5B8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B5B87">
        <w:rPr>
          <w:rFonts w:ascii="Times New Roman" w:hAnsi="Times New Roman"/>
          <w:b/>
          <w:sz w:val="24"/>
          <w:szCs w:val="24"/>
        </w:rPr>
        <w:t xml:space="preserve">PRIE SPRENDIMO PROJEKTO ,,DĖL PRITARIMO  </w:t>
      </w:r>
      <w:r w:rsidR="004B5B87" w:rsidRPr="004B5B87">
        <w:rPr>
          <w:rFonts w:ascii="Times New Roman" w:hAnsi="Times New Roman"/>
          <w:b/>
          <w:sz w:val="24"/>
          <w:szCs w:val="24"/>
        </w:rPr>
        <w:t>VIEŠOSIOS ĮSTAIGOS JUODUPĖS KOMUNALINIO ŪKIO</w:t>
      </w:r>
      <w:r w:rsidRPr="004B5B87">
        <w:rPr>
          <w:rFonts w:ascii="Times New Roman" w:hAnsi="Times New Roman"/>
          <w:b/>
          <w:sz w:val="24"/>
          <w:szCs w:val="24"/>
        </w:rPr>
        <w:t xml:space="preserve"> 2017 METŲ DIREKTORIAUS VEIKLOS ATASKAITAI“</w:t>
      </w:r>
    </w:p>
    <w:p w:rsidR="00932F6C" w:rsidRPr="00491737" w:rsidRDefault="00932F6C" w:rsidP="00932F6C">
      <w:pPr>
        <w:jc w:val="center"/>
        <w:rPr>
          <w:sz w:val="24"/>
          <w:szCs w:val="24"/>
          <w:lang w:val="lt-LT"/>
        </w:rPr>
      </w:pPr>
    </w:p>
    <w:p w:rsidR="00932F6C" w:rsidRPr="00491737" w:rsidRDefault="00932F6C" w:rsidP="00932F6C">
      <w:pPr>
        <w:ind w:firstLine="720"/>
        <w:jc w:val="center"/>
        <w:rPr>
          <w:b/>
          <w:sz w:val="24"/>
          <w:szCs w:val="24"/>
          <w:lang w:val="lt-LT"/>
        </w:rPr>
      </w:pPr>
    </w:p>
    <w:p w:rsidR="004A7A22" w:rsidRPr="00491737" w:rsidRDefault="004A7A22" w:rsidP="004A7A22">
      <w:pPr>
        <w:ind w:firstLine="720"/>
        <w:jc w:val="both"/>
        <w:rPr>
          <w:b/>
          <w:sz w:val="24"/>
          <w:szCs w:val="24"/>
          <w:lang w:val="lt-LT"/>
        </w:rPr>
      </w:pPr>
      <w:r w:rsidRPr="00491737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A7A22" w:rsidRPr="00491737" w:rsidRDefault="004A7A22" w:rsidP="004A7A22">
      <w:pPr>
        <w:ind w:firstLine="720"/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Kaip yra numatyta Lietuvos Respublikos vietos savivaldos įstatyme ir Rokiškio rajono savivaldybės tarybos veiklos reglamente, teikiama tarybai svarstyti  bendrovės direktoriaus  veiklos ataskaita.</w:t>
      </w:r>
    </w:p>
    <w:p w:rsidR="004A7A22" w:rsidRPr="00491737" w:rsidRDefault="004A7A22" w:rsidP="004A7A22">
      <w:pPr>
        <w:ind w:firstLine="709"/>
        <w:jc w:val="both"/>
        <w:rPr>
          <w:sz w:val="24"/>
          <w:szCs w:val="24"/>
          <w:lang w:val="lt-LT"/>
        </w:rPr>
      </w:pPr>
      <w:r w:rsidRPr="00491737">
        <w:rPr>
          <w:b/>
          <w:bCs/>
          <w:sz w:val="24"/>
          <w:szCs w:val="24"/>
          <w:lang w:val="lt-LT"/>
        </w:rPr>
        <w:t>Šiuo metu esantis teisinis reglamentavimas.</w:t>
      </w:r>
      <w:r w:rsidRPr="00491737">
        <w:rPr>
          <w:sz w:val="24"/>
          <w:szCs w:val="24"/>
          <w:lang w:val="lt-LT"/>
        </w:rPr>
        <w:t xml:space="preserve"> </w:t>
      </w:r>
    </w:p>
    <w:p w:rsidR="004A7A22" w:rsidRPr="00491737" w:rsidRDefault="004A7A22" w:rsidP="004A7A22">
      <w:pPr>
        <w:ind w:firstLine="709"/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Lietuvos Respublikos vietos savivaldos įstatymas  ir Rokiškio rajono savivaldybės tarybos veiklos reglamentas.</w:t>
      </w:r>
    </w:p>
    <w:p w:rsidR="004A7A22" w:rsidRPr="00491737" w:rsidRDefault="004A7A22" w:rsidP="004A7A22">
      <w:pPr>
        <w:pStyle w:val="Antrats"/>
        <w:tabs>
          <w:tab w:val="right" w:pos="709"/>
        </w:tabs>
        <w:jc w:val="both"/>
        <w:rPr>
          <w:sz w:val="24"/>
          <w:szCs w:val="24"/>
          <w:lang w:val="lt-LT"/>
        </w:rPr>
      </w:pPr>
      <w:r w:rsidRPr="00491737">
        <w:rPr>
          <w:b/>
          <w:bCs/>
          <w:sz w:val="24"/>
          <w:szCs w:val="24"/>
          <w:lang w:val="lt-LT"/>
        </w:rPr>
        <w:tab/>
        <w:t xml:space="preserve">            Sprendimo projekto esmė.</w:t>
      </w:r>
      <w:r w:rsidRPr="00491737">
        <w:rPr>
          <w:sz w:val="24"/>
          <w:szCs w:val="24"/>
          <w:lang w:val="lt-LT"/>
        </w:rPr>
        <w:t xml:space="preserve"> </w:t>
      </w:r>
    </w:p>
    <w:p w:rsidR="004B5B87" w:rsidRPr="00B6770C" w:rsidRDefault="004A7A22" w:rsidP="004B5B87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            Lietuvos Respublikos vietos savivaldos įstatymo 16 straipsnio 2 dalies 19 punkte,  Rokiškio rajono savivaldybės tarybos 2015 m. kovo  27</w:t>
      </w:r>
      <w:r w:rsidR="00F834D6" w:rsidRPr="00491737">
        <w:rPr>
          <w:sz w:val="24"/>
          <w:szCs w:val="24"/>
          <w:lang w:val="lt-LT"/>
        </w:rPr>
        <w:t xml:space="preserve"> </w:t>
      </w:r>
      <w:r w:rsidRPr="00491737">
        <w:rPr>
          <w:sz w:val="24"/>
          <w:szCs w:val="24"/>
          <w:lang w:val="lt-LT"/>
        </w:rPr>
        <w:t xml:space="preserve">d. sprendimu Nr. TS-102 patvirtintame Rokiškio rajono savivaldybės tarybos veiklos reglamente numatyta,  kad savivaldybės taryba išklauso savivaldybės kontroliuojamų įmonių vadovų ataskaitas, vadovų atsakymus į tarybos narių paklausimus ir priima sprendimus dėl šių ataskaitų. </w:t>
      </w:r>
      <w:r w:rsidR="004B5B87" w:rsidRPr="00B6770C">
        <w:rPr>
          <w:sz w:val="24"/>
          <w:szCs w:val="24"/>
          <w:lang w:val="lt-LT"/>
        </w:rPr>
        <w:t>Dėl to teikiama  tarybai viešosios įstaigos Juodupės komunalinio ūkio, kurios savininkė  yra Rokiškio rajono savivaldybė,  direktoriaus 201</w:t>
      </w:r>
      <w:r w:rsidR="001C2970">
        <w:rPr>
          <w:sz w:val="24"/>
          <w:szCs w:val="24"/>
          <w:lang w:val="lt-LT"/>
        </w:rPr>
        <w:t>7</w:t>
      </w:r>
      <w:r w:rsidR="004B5B87" w:rsidRPr="00B6770C">
        <w:rPr>
          <w:sz w:val="24"/>
          <w:szCs w:val="24"/>
          <w:lang w:val="lt-LT"/>
        </w:rPr>
        <w:t xml:space="preserve"> metų veiklos ataskaita Ataskaitoje pateikti  duomenys apie viešąją įstaigą, darbuotojus, jų darbo apmokėjimą, turtą, įstaigos ūkinę veiklą, finansinius rodiklius, įstaigos veiklos planai. </w:t>
      </w:r>
    </w:p>
    <w:p w:rsidR="004A7A22" w:rsidRPr="00491737" w:rsidRDefault="004A7A22" w:rsidP="004B5B87">
      <w:pPr>
        <w:tabs>
          <w:tab w:val="left" w:pos="1134"/>
        </w:tabs>
        <w:jc w:val="both"/>
        <w:rPr>
          <w:b/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           </w:t>
      </w:r>
      <w:r w:rsidRPr="00491737">
        <w:rPr>
          <w:b/>
          <w:sz w:val="24"/>
          <w:szCs w:val="24"/>
          <w:lang w:val="lt-LT"/>
        </w:rPr>
        <w:t>Galimos pasekmės, priėmus siūlomą tarybos sprendimo projektą:</w:t>
      </w:r>
    </w:p>
    <w:p w:rsidR="004A7A22" w:rsidRPr="00491737" w:rsidRDefault="004A7A22" w:rsidP="004A7A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491737">
        <w:rPr>
          <w:b/>
          <w:sz w:val="24"/>
          <w:szCs w:val="24"/>
          <w:lang w:val="lt-LT"/>
        </w:rPr>
        <w:t>teigiamos</w:t>
      </w:r>
      <w:r w:rsidRPr="00491737">
        <w:rPr>
          <w:sz w:val="24"/>
          <w:szCs w:val="24"/>
          <w:lang w:val="lt-LT"/>
        </w:rPr>
        <w:t xml:space="preserve"> –  bus laikomasi teisės aktuose nustatytų nuostatų.</w:t>
      </w:r>
    </w:p>
    <w:p w:rsidR="004A7A22" w:rsidRPr="00491737" w:rsidRDefault="004A7A22" w:rsidP="004A7A22">
      <w:pPr>
        <w:pStyle w:val="Antrats"/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491737">
        <w:rPr>
          <w:b/>
          <w:sz w:val="24"/>
          <w:szCs w:val="24"/>
          <w:lang w:val="lt-LT"/>
        </w:rPr>
        <w:t>neigiamos</w:t>
      </w:r>
      <w:r w:rsidRPr="00491737">
        <w:rPr>
          <w:sz w:val="24"/>
          <w:szCs w:val="24"/>
          <w:lang w:val="lt-LT"/>
        </w:rPr>
        <w:t xml:space="preserve"> – nebus. </w:t>
      </w:r>
    </w:p>
    <w:p w:rsidR="004A7A22" w:rsidRPr="00491737" w:rsidRDefault="005F2581" w:rsidP="004A7A22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491737">
        <w:rPr>
          <w:b/>
          <w:sz w:val="24"/>
          <w:szCs w:val="24"/>
          <w:lang w:val="lt-LT"/>
        </w:rPr>
        <w:t>S</w:t>
      </w:r>
      <w:r w:rsidR="004A7A22" w:rsidRPr="00491737">
        <w:rPr>
          <w:b/>
          <w:sz w:val="24"/>
          <w:szCs w:val="24"/>
          <w:lang w:val="lt-LT"/>
        </w:rPr>
        <w:t>prendimo nauda Rokiškio rajono gyventojams.</w:t>
      </w:r>
    </w:p>
    <w:p w:rsidR="009C21B6" w:rsidRPr="009C21B6" w:rsidRDefault="004A7A22" w:rsidP="009C21B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           </w:t>
      </w:r>
      <w:r w:rsidR="009C21B6" w:rsidRPr="009C21B6">
        <w:rPr>
          <w:sz w:val="24"/>
          <w:szCs w:val="24"/>
          <w:lang w:val="lt-LT"/>
        </w:rPr>
        <w:t xml:space="preserve">Direktoriaus ataskaita yra vieša ir Rokiškio rajono savivaldybės gyventojai gali išsamiai susipažinti su įstaigos veikla, teikiamomis paslaugomis ir teikti pasiūlymus, pageidavimus. </w:t>
      </w:r>
    </w:p>
    <w:p w:rsidR="004A7A22" w:rsidRPr="00491737" w:rsidRDefault="004A7A22" w:rsidP="009C21B6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lt-LT"/>
        </w:rPr>
      </w:pPr>
      <w:r w:rsidRPr="00491737">
        <w:rPr>
          <w:b/>
          <w:bCs/>
          <w:sz w:val="24"/>
          <w:szCs w:val="24"/>
          <w:lang w:val="lt-LT"/>
        </w:rPr>
        <w:t>Finansavimo šaltiniai ir lėšų poreikis</w:t>
      </w:r>
      <w:r w:rsidRPr="00491737">
        <w:rPr>
          <w:sz w:val="24"/>
          <w:szCs w:val="24"/>
          <w:lang w:val="lt-LT"/>
        </w:rPr>
        <w:t>.</w:t>
      </w:r>
    </w:p>
    <w:p w:rsidR="004A7A22" w:rsidRPr="00491737" w:rsidRDefault="004A7A22" w:rsidP="004A7A22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Sprendimui įgyvendinti savivaldybės biudžeto lėšų nereikės. </w:t>
      </w:r>
    </w:p>
    <w:p w:rsidR="004A7A22" w:rsidRPr="00491737" w:rsidRDefault="004A7A22" w:rsidP="004A7A22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491737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4A7A22" w:rsidRPr="00491737" w:rsidRDefault="004A7A22" w:rsidP="004A7A22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491737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4A7A22" w:rsidRPr="00491737" w:rsidRDefault="004A7A22" w:rsidP="004A7A22">
      <w:pPr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           </w:t>
      </w:r>
      <w:r w:rsidRPr="00491737">
        <w:rPr>
          <w:b/>
          <w:sz w:val="24"/>
          <w:szCs w:val="24"/>
          <w:lang w:val="lt-LT"/>
        </w:rPr>
        <w:t>Antikorupcinis vertinimas</w:t>
      </w:r>
      <w:r w:rsidRPr="00491737">
        <w:rPr>
          <w:sz w:val="24"/>
          <w:szCs w:val="24"/>
          <w:lang w:val="lt-LT"/>
        </w:rPr>
        <w:t>.</w:t>
      </w:r>
    </w:p>
    <w:p w:rsidR="004A7A22" w:rsidRPr="00491737" w:rsidRDefault="004A7A22" w:rsidP="004A7A22">
      <w:pPr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           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4A7A22" w:rsidRPr="00491737" w:rsidRDefault="004A7A22" w:rsidP="004A7A22">
      <w:pPr>
        <w:jc w:val="both"/>
        <w:rPr>
          <w:sz w:val="24"/>
          <w:szCs w:val="24"/>
          <w:lang w:val="lt-LT"/>
        </w:rPr>
      </w:pPr>
    </w:p>
    <w:p w:rsidR="004A7A22" w:rsidRPr="00491737" w:rsidRDefault="004A7A22" w:rsidP="00932F6C">
      <w:pPr>
        <w:jc w:val="both"/>
        <w:rPr>
          <w:sz w:val="24"/>
          <w:szCs w:val="24"/>
          <w:lang w:val="lt-LT"/>
        </w:rPr>
      </w:pPr>
    </w:p>
    <w:p w:rsidR="004A7A22" w:rsidRPr="00491737" w:rsidRDefault="00932F6C" w:rsidP="00932F6C">
      <w:pPr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 xml:space="preserve">Turto  valdymo ir viešųjų pirkimų skyriaus </w:t>
      </w:r>
    </w:p>
    <w:p w:rsidR="00932F6C" w:rsidRPr="00491737" w:rsidRDefault="00932F6C" w:rsidP="00932F6C">
      <w:pPr>
        <w:jc w:val="both"/>
        <w:rPr>
          <w:sz w:val="24"/>
          <w:szCs w:val="24"/>
          <w:lang w:val="lt-LT"/>
        </w:rPr>
      </w:pPr>
      <w:r w:rsidRPr="00491737">
        <w:rPr>
          <w:sz w:val="24"/>
          <w:szCs w:val="24"/>
          <w:lang w:val="lt-LT"/>
        </w:rPr>
        <w:t>vedėj</w:t>
      </w:r>
      <w:r w:rsidR="004A7A22" w:rsidRPr="00491737">
        <w:rPr>
          <w:sz w:val="24"/>
          <w:szCs w:val="24"/>
          <w:lang w:val="lt-LT"/>
        </w:rPr>
        <w:t>o</w:t>
      </w:r>
      <w:r w:rsidRPr="00491737">
        <w:rPr>
          <w:sz w:val="24"/>
          <w:szCs w:val="24"/>
          <w:lang w:val="lt-LT"/>
        </w:rPr>
        <w:tab/>
      </w:r>
      <w:r w:rsidR="004A7A22" w:rsidRPr="00491737">
        <w:rPr>
          <w:sz w:val="24"/>
          <w:szCs w:val="24"/>
          <w:lang w:val="lt-LT"/>
        </w:rPr>
        <w:t>pavaduotoja</w:t>
      </w:r>
      <w:r w:rsidRPr="00491737">
        <w:rPr>
          <w:sz w:val="24"/>
          <w:szCs w:val="24"/>
          <w:lang w:val="lt-LT"/>
        </w:rPr>
        <w:tab/>
      </w:r>
      <w:r w:rsidR="004A7A22" w:rsidRPr="00491737">
        <w:rPr>
          <w:sz w:val="24"/>
          <w:szCs w:val="24"/>
          <w:lang w:val="lt-LT"/>
        </w:rPr>
        <w:tab/>
      </w:r>
      <w:r w:rsidR="004A7A22" w:rsidRPr="00491737">
        <w:rPr>
          <w:sz w:val="24"/>
          <w:szCs w:val="24"/>
          <w:lang w:val="lt-LT"/>
        </w:rPr>
        <w:tab/>
      </w:r>
      <w:r w:rsidR="004A7A22" w:rsidRPr="00491737">
        <w:rPr>
          <w:sz w:val="24"/>
          <w:szCs w:val="24"/>
          <w:lang w:val="lt-LT"/>
        </w:rPr>
        <w:tab/>
      </w:r>
      <w:r w:rsidR="004A7A22" w:rsidRPr="00491737">
        <w:rPr>
          <w:sz w:val="24"/>
          <w:szCs w:val="24"/>
          <w:lang w:val="lt-LT"/>
        </w:rPr>
        <w:tab/>
      </w:r>
      <w:r w:rsidR="004A7A22" w:rsidRPr="00491737">
        <w:rPr>
          <w:sz w:val="24"/>
          <w:szCs w:val="24"/>
          <w:lang w:val="lt-LT"/>
        </w:rPr>
        <w:tab/>
      </w:r>
      <w:r w:rsidR="004A7A22" w:rsidRPr="00491737">
        <w:rPr>
          <w:sz w:val="24"/>
          <w:szCs w:val="24"/>
          <w:lang w:val="lt-LT"/>
        </w:rPr>
        <w:tab/>
        <w:t>Vida Gindvilienė</w:t>
      </w:r>
    </w:p>
    <w:p w:rsidR="00932F6C" w:rsidRPr="00491737" w:rsidRDefault="00932F6C" w:rsidP="00932F6C">
      <w:pPr>
        <w:jc w:val="both"/>
        <w:rPr>
          <w:sz w:val="24"/>
          <w:szCs w:val="24"/>
          <w:lang w:val="lt-LT"/>
        </w:rPr>
      </w:pPr>
    </w:p>
    <w:p w:rsidR="00991587" w:rsidRPr="00491737" w:rsidRDefault="00991587" w:rsidP="008D23EC">
      <w:pPr>
        <w:suppressAutoHyphens/>
        <w:ind w:firstLine="567"/>
        <w:rPr>
          <w:sz w:val="24"/>
          <w:szCs w:val="24"/>
          <w:shd w:val="clear" w:color="auto" w:fill="FFFFFF"/>
          <w:lang w:val="lt-LT"/>
        </w:rPr>
      </w:pPr>
    </w:p>
    <w:p w:rsidR="00A36941" w:rsidRPr="00491737" w:rsidRDefault="00A36941" w:rsidP="00A36941">
      <w:pPr>
        <w:jc w:val="both"/>
        <w:rPr>
          <w:sz w:val="24"/>
          <w:szCs w:val="24"/>
          <w:shd w:val="clear" w:color="auto" w:fill="FFFFFF"/>
          <w:lang w:val="lt-LT"/>
        </w:rPr>
      </w:pPr>
    </w:p>
    <w:p w:rsidR="00A36941" w:rsidRPr="00491737" w:rsidRDefault="00A36941" w:rsidP="00A36941">
      <w:pPr>
        <w:jc w:val="both"/>
        <w:rPr>
          <w:sz w:val="24"/>
          <w:szCs w:val="24"/>
          <w:shd w:val="clear" w:color="auto" w:fill="FFFFFF"/>
          <w:lang w:val="lt-LT"/>
        </w:rPr>
      </w:pPr>
    </w:p>
    <w:p w:rsidR="00A36941" w:rsidRPr="00491737" w:rsidRDefault="00A36941" w:rsidP="00A36941">
      <w:pPr>
        <w:jc w:val="both"/>
        <w:rPr>
          <w:sz w:val="24"/>
          <w:szCs w:val="24"/>
          <w:lang w:val="lt-LT"/>
        </w:rPr>
      </w:pPr>
    </w:p>
    <w:p w:rsidR="00A36941" w:rsidRPr="00491737" w:rsidRDefault="00A36941" w:rsidP="00A36941">
      <w:pPr>
        <w:jc w:val="both"/>
        <w:rPr>
          <w:sz w:val="24"/>
          <w:szCs w:val="24"/>
          <w:lang w:val="lt-LT"/>
        </w:rPr>
      </w:pPr>
    </w:p>
    <w:p w:rsidR="00A36941" w:rsidRPr="00491737" w:rsidRDefault="00A36941" w:rsidP="00A36941">
      <w:pPr>
        <w:jc w:val="both"/>
        <w:rPr>
          <w:sz w:val="24"/>
          <w:szCs w:val="24"/>
          <w:lang w:val="lt-LT"/>
        </w:rPr>
      </w:pPr>
    </w:p>
    <w:p w:rsidR="00A36941" w:rsidRPr="00491737" w:rsidRDefault="00A36941" w:rsidP="00A36941">
      <w:pPr>
        <w:jc w:val="both"/>
        <w:rPr>
          <w:sz w:val="24"/>
          <w:szCs w:val="24"/>
          <w:lang w:val="lt-LT"/>
        </w:rPr>
      </w:pPr>
    </w:p>
    <w:p w:rsidR="00A36941" w:rsidRPr="00491737" w:rsidRDefault="00A36941" w:rsidP="008E7F5B">
      <w:pPr>
        <w:rPr>
          <w:sz w:val="24"/>
          <w:szCs w:val="24"/>
          <w:lang w:val="lt-LT"/>
        </w:rPr>
      </w:pPr>
    </w:p>
    <w:sectPr w:rsidR="00A36941" w:rsidRPr="00491737" w:rsidSect="0049173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5D" w:rsidRDefault="0060685D">
      <w:r>
        <w:separator/>
      </w:r>
    </w:p>
  </w:endnote>
  <w:endnote w:type="continuationSeparator" w:id="0">
    <w:p w:rsidR="0060685D" w:rsidRDefault="006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5D" w:rsidRDefault="0060685D">
      <w:r>
        <w:separator/>
      </w:r>
    </w:p>
  </w:footnote>
  <w:footnote w:type="continuationSeparator" w:id="0">
    <w:p w:rsidR="0060685D" w:rsidRDefault="0060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280F8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3560" cy="698500"/>
          <wp:effectExtent l="0" t="0" r="8890" b="635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D52072" w:rsidRDefault="00EB1BFB" w:rsidP="00EB1BFB">
    <w:pPr>
      <w:rPr>
        <w:b/>
        <w:sz w:val="24"/>
        <w:szCs w:val="24"/>
      </w:rPr>
    </w:pPr>
  </w:p>
  <w:p w:rsidR="00EB1BFB" w:rsidRPr="00565D94" w:rsidRDefault="00D52072" w:rsidP="00EB1BFB">
    <w:pPr>
      <w:rPr>
        <w:b/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565D94">
      <w:rPr>
        <w:b/>
        <w:sz w:val="24"/>
        <w:szCs w:val="24"/>
        <w:lang w:val="lt-LT"/>
      </w:rPr>
      <w:t>Projektas</w:t>
    </w:r>
  </w:p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2CC"/>
    <w:rsid w:val="000213B8"/>
    <w:rsid w:val="00025149"/>
    <w:rsid w:val="00030728"/>
    <w:rsid w:val="00040B68"/>
    <w:rsid w:val="00065EDC"/>
    <w:rsid w:val="00075B45"/>
    <w:rsid w:val="000762C8"/>
    <w:rsid w:val="00080F89"/>
    <w:rsid w:val="00085048"/>
    <w:rsid w:val="000B1CE9"/>
    <w:rsid w:val="000C20E5"/>
    <w:rsid w:val="000D5DBA"/>
    <w:rsid w:val="000E178E"/>
    <w:rsid w:val="0010197B"/>
    <w:rsid w:val="001059F4"/>
    <w:rsid w:val="00113C20"/>
    <w:rsid w:val="00185C41"/>
    <w:rsid w:val="00187088"/>
    <w:rsid w:val="00193420"/>
    <w:rsid w:val="001A6983"/>
    <w:rsid w:val="001B6A74"/>
    <w:rsid w:val="001C2970"/>
    <w:rsid w:val="001C358C"/>
    <w:rsid w:val="001E755B"/>
    <w:rsid w:val="00221EFC"/>
    <w:rsid w:val="002318C5"/>
    <w:rsid w:val="0023787D"/>
    <w:rsid w:val="00280C26"/>
    <w:rsid w:val="00280F80"/>
    <w:rsid w:val="002D3B35"/>
    <w:rsid w:val="002F3C6B"/>
    <w:rsid w:val="00390C0C"/>
    <w:rsid w:val="003A2F5A"/>
    <w:rsid w:val="003B47CA"/>
    <w:rsid w:val="003C1C25"/>
    <w:rsid w:val="003C1EF1"/>
    <w:rsid w:val="003C3613"/>
    <w:rsid w:val="003F2368"/>
    <w:rsid w:val="00404748"/>
    <w:rsid w:val="00404F3E"/>
    <w:rsid w:val="00425121"/>
    <w:rsid w:val="00441928"/>
    <w:rsid w:val="00454130"/>
    <w:rsid w:val="00465378"/>
    <w:rsid w:val="004855CF"/>
    <w:rsid w:val="00491737"/>
    <w:rsid w:val="004A7A22"/>
    <w:rsid w:val="004B5B87"/>
    <w:rsid w:val="005307EE"/>
    <w:rsid w:val="00531F8B"/>
    <w:rsid w:val="0053512E"/>
    <w:rsid w:val="005373CB"/>
    <w:rsid w:val="00563489"/>
    <w:rsid w:val="00565D94"/>
    <w:rsid w:val="00566CC0"/>
    <w:rsid w:val="005738F5"/>
    <w:rsid w:val="00574298"/>
    <w:rsid w:val="00590F26"/>
    <w:rsid w:val="00594803"/>
    <w:rsid w:val="005B1B1F"/>
    <w:rsid w:val="005D10B1"/>
    <w:rsid w:val="005E07D7"/>
    <w:rsid w:val="005E4261"/>
    <w:rsid w:val="005E4F26"/>
    <w:rsid w:val="005F2581"/>
    <w:rsid w:val="0060685D"/>
    <w:rsid w:val="006423E2"/>
    <w:rsid w:val="00650B14"/>
    <w:rsid w:val="0067194A"/>
    <w:rsid w:val="00683B78"/>
    <w:rsid w:val="00690A51"/>
    <w:rsid w:val="006A760B"/>
    <w:rsid w:val="006D7030"/>
    <w:rsid w:val="00771E1A"/>
    <w:rsid w:val="00787C2F"/>
    <w:rsid w:val="0079214A"/>
    <w:rsid w:val="007D28B4"/>
    <w:rsid w:val="00815090"/>
    <w:rsid w:val="00834271"/>
    <w:rsid w:val="00841780"/>
    <w:rsid w:val="00853BB1"/>
    <w:rsid w:val="00855FC2"/>
    <w:rsid w:val="00880525"/>
    <w:rsid w:val="00895C28"/>
    <w:rsid w:val="008C4B7E"/>
    <w:rsid w:val="008D23EC"/>
    <w:rsid w:val="008E7F5B"/>
    <w:rsid w:val="008F5059"/>
    <w:rsid w:val="008F6439"/>
    <w:rsid w:val="00904423"/>
    <w:rsid w:val="00917406"/>
    <w:rsid w:val="00932F6C"/>
    <w:rsid w:val="00933003"/>
    <w:rsid w:val="009330E9"/>
    <w:rsid w:val="009339A7"/>
    <w:rsid w:val="00951728"/>
    <w:rsid w:val="00965CF0"/>
    <w:rsid w:val="009721EE"/>
    <w:rsid w:val="00991587"/>
    <w:rsid w:val="009B6495"/>
    <w:rsid w:val="009C1F16"/>
    <w:rsid w:val="009C21B6"/>
    <w:rsid w:val="009C5CB6"/>
    <w:rsid w:val="00A3518E"/>
    <w:rsid w:val="00A36941"/>
    <w:rsid w:val="00A77246"/>
    <w:rsid w:val="00A83D1A"/>
    <w:rsid w:val="00AC6EFA"/>
    <w:rsid w:val="00B21FA0"/>
    <w:rsid w:val="00B3094B"/>
    <w:rsid w:val="00B45626"/>
    <w:rsid w:val="00B52CC9"/>
    <w:rsid w:val="00B62BAC"/>
    <w:rsid w:val="00B804BD"/>
    <w:rsid w:val="00BD5C96"/>
    <w:rsid w:val="00BE4861"/>
    <w:rsid w:val="00BE6371"/>
    <w:rsid w:val="00BF1AC1"/>
    <w:rsid w:val="00BF1C9E"/>
    <w:rsid w:val="00C11020"/>
    <w:rsid w:val="00C13BB0"/>
    <w:rsid w:val="00C31423"/>
    <w:rsid w:val="00C402F6"/>
    <w:rsid w:val="00CA536C"/>
    <w:rsid w:val="00CB2F2A"/>
    <w:rsid w:val="00CC4D7F"/>
    <w:rsid w:val="00CC5051"/>
    <w:rsid w:val="00D2048B"/>
    <w:rsid w:val="00D24487"/>
    <w:rsid w:val="00D52072"/>
    <w:rsid w:val="00D60691"/>
    <w:rsid w:val="00D7633A"/>
    <w:rsid w:val="00D85BE6"/>
    <w:rsid w:val="00D9657E"/>
    <w:rsid w:val="00DC6CC4"/>
    <w:rsid w:val="00DD14A1"/>
    <w:rsid w:val="00DE738F"/>
    <w:rsid w:val="00DE78DB"/>
    <w:rsid w:val="00E00583"/>
    <w:rsid w:val="00E220A3"/>
    <w:rsid w:val="00E750C3"/>
    <w:rsid w:val="00EB1BFB"/>
    <w:rsid w:val="00EB2A84"/>
    <w:rsid w:val="00EC6931"/>
    <w:rsid w:val="00F0443E"/>
    <w:rsid w:val="00F054DE"/>
    <w:rsid w:val="00F20623"/>
    <w:rsid w:val="00F42D5C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899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99"/>
    <w:qFormat/>
    <w:rsid w:val="0018708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99"/>
    <w:qFormat/>
    <w:rsid w:val="0018708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5D70-C30D-475C-BCC8-8F10332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2017-12-13T10:19:00Z</cp:lastPrinted>
  <dcterms:created xsi:type="dcterms:W3CDTF">2018-04-18T07:21:00Z</dcterms:created>
  <dcterms:modified xsi:type="dcterms:W3CDTF">2018-04-18T07:21:00Z</dcterms:modified>
</cp:coreProperties>
</file>