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0A" w:rsidRPr="00CC0429" w:rsidRDefault="00546B0A" w:rsidP="00546B0A">
      <w:pPr>
        <w:ind w:left="1296" w:firstLine="1296"/>
      </w:pPr>
      <w:r w:rsidRPr="00CC0429">
        <w:rPr>
          <w:b/>
        </w:rPr>
        <w:tab/>
      </w:r>
      <w:r w:rsidRPr="00CC0429">
        <w:rPr>
          <w:b/>
        </w:rPr>
        <w:tab/>
      </w:r>
      <w:r w:rsidRPr="00CC0429">
        <w:rPr>
          <w:b/>
        </w:rPr>
        <w:tab/>
      </w:r>
      <w:r w:rsidRPr="00CC0429">
        <w:rPr>
          <w:b/>
        </w:rPr>
        <w:tab/>
      </w:r>
      <w:r w:rsidR="009604F6" w:rsidRPr="00CC0429">
        <w:rPr>
          <w:b/>
        </w:rPr>
        <w:tab/>
      </w:r>
      <w:r w:rsidRPr="00CC0429">
        <w:t>Projektas</w:t>
      </w:r>
    </w:p>
    <w:p w:rsidR="00546B0A" w:rsidRPr="00CC0429" w:rsidRDefault="00546B0A" w:rsidP="00546B0A">
      <w:pPr>
        <w:ind w:left="1296" w:firstLine="1296"/>
        <w:rPr>
          <w:b/>
        </w:rPr>
      </w:pPr>
    </w:p>
    <w:p w:rsidR="00074D1F" w:rsidRPr="00CC0429" w:rsidRDefault="00F73072" w:rsidP="00546B0A">
      <w:pPr>
        <w:ind w:left="1296" w:firstLine="1296"/>
        <w:rPr>
          <w:b/>
        </w:rPr>
      </w:pPr>
      <w:r w:rsidRPr="00CC0429">
        <w:rPr>
          <w:b/>
        </w:rPr>
        <w:t>ROKIŠKIO RAJONO SAVIVALDYBĖS TARYBA</w:t>
      </w:r>
    </w:p>
    <w:p w:rsidR="00844943" w:rsidRPr="00CC0429" w:rsidRDefault="00844943" w:rsidP="00A346C7">
      <w:pPr>
        <w:jc w:val="center"/>
        <w:rPr>
          <w:b/>
        </w:rPr>
      </w:pPr>
    </w:p>
    <w:p w:rsidR="00844943" w:rsidRPr="00CC0429" w:rsidRDefault="00844943" w:rsidP="00A346C7">
      <w:pPr>
        <w:jc w:val="center"/>
        <w:rPr>
          <w:b/>
        </w:rPr>
      </w:pPr>
      <w:r w:rsidRPr="00CC0429">
        <w:rPr>
          <w:b/>
        </w:rPr>
        <w:t>S</w:t>
      </w:r>
      <w:r w:rsidR="002369FE">
        <w:rPr>
          <w:b/>
        </w:rPr>
        <w:t xml:space="preserve"> </w:t>
      </w:r>
      <w:r w:rsidRPr="00CC0429">
        <w:rPr>
          <w:b/>
        </w:rPr>
        <w:t>P</w:t>
      </w:r>
      <w:r w:rsidR="002369FE">
        <w:rPr>
          <w:b/>
        </w:rPr>
        <w:t xml:space="preserve"> </w:t>
      </w:r>
      <w:r w:rsidRPr="00CC0429">
        <w:rPr>
          <w:b/>
        </w:rPr>
        <w:t>R</w:t>
      </w:r>
      <w:r w:rsidR="002369FE">
        <w:rPr>
          <w:b/>
        </w:rPr>
        <w:t xml:space="preserve"> </w:t>
      </w:r>
      <w:r w:rsidRPr="00CC0429">
        <w:rPr>
          <w:b/>
        </w:rPr>
        <w:t>E</w:t>
      </w:r>
      <w:r w:rsidR="002369FE">
        <w:rPr>
          <w:b/>
        </w:rPr>
        <w:t xml:space="preserve"> </w:t>
      </w:r>
      <w:r w:rsidRPr="00CC0429">
        <w:rPr>
          <w:b/>
        </w:rPr>
        <w:t>N</w:t>
      </w:r>
      <w:r w:rsidR="002369FE">
        <w:rPr>
          <w:b/>
        </w:rPr>
        <w:t xml:space="preserve"> </w:t>
      </w:r>
      <w:r w:rsidRPr="00CC0429">
        <w:rPr>
          <w:b/>
        </w:rPr>
        <w:t>D</w:t>
      </w:r>
      <w:r w:rsidR="002369FE">
        <w:rPr>
          <w:b/>
        </w:rPr>
        <w:t xml:space="preserve"> </w:t>
      </w:r>
      <w:r w:rsidRPr="00CC0429">
        <w:rPr>
          <w:b/>
        </w:rPr>
        <w:t>I</w:t>
      </w:r>
      <w:r w:rsidR="002369FE">
        <w:rPr>
          <w:b/>
        </w:rPr>
        <w:t xml:space="preserve"> </w:t>
      </w:r>
      <w:r w:rsidRPr="00CC0429">
        <w:rPr>
          <w:b/>
        </w:rPr>
        <w:t>M</w:t>
      </w:r>
      <w:r w:rsidR="002369FE">
        <w:rPr>
          <w:b/>
        </w:rPr>
        <w:t xml:space="preserve"> </w:t>
      </w:r>
      <w:r w:rsidRPr="00CC0429">
        <w:rPr>
          <w:b/>
        </w:rPr>
        <w:t>A</w:t>
      </w:r>
      <w:r w:rsidR="002369FE">
        <w:rPr>
          <w:b/>
        </w:rPr>
        <w:t xml:space="preserve"> </w:t>
      </w:r>
      <w:r w:rsidRPr="00CC0429">
        <w:rPr>
          <w:b/>
        </w:rPr>
        <w:t>S</w:t>
      </w:r>
    </w:p>
    <w:p w:rsidR="00844943" w:rsidRPr="00CC0429" w:rsidRDefault="00203F0C" w:rsidP="00A346C7">
      <w:pPr>
        <w:jc w:val="center"/>
        <w:rPr>
          <w:b/>
        </w:rPr>
      </w:pPr>
      <w:bookmarkStart w:id="0" w:name="_GoBack"/>
      <w:r w:rsidRPr="00CC0429">
        <w:rPr>
          <w:b/>
        </w:rPr>
        <w:t>DĖL</w:t>
      </w:r>
      <w:r w:rsidR="00844943" w:rsidRPr="00CC0429">
        <w:rPr>
          <w:b/>
        </w:rPr>
        <w:t xml:space="preserve"> </w:t>
      </w:r>
      <w:r w:rsidR="00432DCC" w:rsidRPr="00CC0429">
        <w:rPr>
          <w:b/>
        </w:rPr>
        <w:t>ROKIŠKIO RAJONO SAVIVALDYBEI SKIRTŲ VALSTYBĖS BIUDŽETO</w:t>
      </w:r>
      <w:r w:rsidR="004F7D5E" w:rsidRPr="00CC0429">
        <w:rPr>
          <w:b/>
        </w:rPr>
        <w:t xml:space="preserve"> MOKYMO</w:t>
      </w:r>
      <w:r w:rsidR="00844943" w:rsidRPr="00CC0429">
        <w:rPr>
          <w:b/>
        </w:rPr>
        <w:t xml:space="preserve"> LĖŠŲ PASKIRSTYMO</w:t>
      </w:r>
      <w:r w:rsidR="002369FE">
        <w:rPr>
          <w:b/>
        </w:rPr>
        <w:t>, PERSKIRSTYMO IR NAUDOJIMO</w:t>
      </w:r>
      <w:r w:rsidR="00844943" w:rsidRPr="00CC0429">
        <w:rPr>
          <w:b/>
        </w:rPr>
        <w:t xml:space="preserve"> TVARKOS APRAŠ</w:t>
      </w:r>
      <w:r w:rsidR="00567470" w:rsidRPr="00CC0429">
        <w:rPr>
          <w:b/>
        </w:rPr>
        <w:t xml:space="preserve">O </w:t>
      </w:r>
      <w:r w:rsidRPr="00CC0429">
        <w:rPr>
          <w:b/>
        </w:rPr>
        <w:t>PATVIRTINIMO</w:t>
      </w:r>
    </w:p>
    <w:bookmarkEnd w:id="0"/>
    <w:p w:rsidR="00203F0C" w:rsidRPr="00CC0429" w:rsidRDefault="00203F0C" w:rsidP="00A346C7">
      <w:pPr>
        <w:jc w:val="center"/>
        <w:rPr>
          <w:b/>
        </w:rPr>
      </w:pPr>
    </w:p>
    <w:p w:rsidR="00844943" w:rsidRPr="00CC0429" w:rsidRDefault="00844943" w:rsidP="00844943">
      <w:pPr>
        <w:jc w:val="center"/>
      </w:pPr>
      <w:r w:rsidRPr="00CC0429">
        <w:t>201</w:t>
      </w:r>
      <w:r w:rsidR="004F7D5E" w:rsidRPr="00CC0429">
        <w:t>8</w:t>
      </w:r>
      <w:r w:rsidRPr="00CC0429">
        <w:t xml:space="preserve"> m. </w:t>
      </w:r>
      <w:r w:rsidR="004F7D5E" w:rsidRPr="00CC0429">
        <w:t xml:space="preserve">rugsėjo </w:t>
      </w:r>
      <w:r w:rsidR="005E1607" w:rsidRPr="00CC0429">
        <w:t>2</w:t>
      </w:r>
      <w:r w:rsidR="004F7D5E" w:rsidRPr="00CC0429">
        <w:t>8</w:t>
      </w:r>
      <w:r w:rsidRPr="00CC0429">
        <w:t xml:space="preserve"> d. Nr.</w:t>
      </w:r>
      <w:r w:rsidR="00A030E7" w:rsidRPr="00CC0429">
        <w:t xml:space="preserve"> </w:t>
      </w:r>
      <w:r w:rsidR="00DF284B" w:rsidRPr="00CC0429">
        <w:t>TS-</w:t>
      </w:r>
    </w:p>
    <w:p w:rsidR="00844943" w:rsidRPr="00CC0429" w:rsidRDefault="00844943" w:rsidP="00844943">
      <w:pPr>
        <w:jc w:val="center"/>
      </w:pPr>
      <w:r w:rsidRPr="00CC0429">
        <w:t>Rokiškis</w:t>
      </w:r>
    </w:p>
    <w:p w:rsidR="00844943" w:rsidRPr="00CC0429" w:rsidRDefault="00844943" w:rsidP="00844943">
      <w:pPr>
        <w:jc w:val="center"/>
      </w:pPr>
    </w:p>
    <w:p w:rsidR="00844943" w:rsidRPr="00CC0429" w:rsidRDefault="00844943" w:rsidP="00844943">
      <w:pPr>
        <w:jc w:val="center"/>
      </w:pPr>
    </w:p>
    <w:p w:rsidR="001A1D58" w:rsidRPr="00CC0429" w:rsidRDefault="001A1D58" w:rsidP="002369FE">
      <w:pPr>
        <w:ind w:firstLine="851"/>
        <w:jc w:val="both"/>
      </w:pPr>
      <w:r w:rsidRPr="00CC0429">
        <w:t>Vadovaudamasi Lietuvos Respublikos v</w:t>
      </w:r>
      <w:r w:rsidR="0012403D" w:rsidRPr="00CC0429">
        <w:t xml:space="preserve">ietos savivaldos įstatymo </w:t>
      </w:r>
      <w:r w:rsidR="007D7EEB" w:rsidRPr="00CC0429">
        <w:t>18 straipsnio 1 dalimi bei</w:t>
      </w:r>
      <w:r w:rsidR="00E65EEA" w:rsidRPr="00CC0429">
        <w:t xml:space="preserve"> </w:t>
      </w:r>
      <w:r w:rsidRPr="00CC0429">
        <w:t xml:space="preserve"> </w:t>
      </w:r>
      <w:r w:rsidR="00E65EEA" w:rsidRPr="00CC0429">
        <w:t>Lietuvos Respublikos Vyriausybės 20</w:t>
      </w:r>
      <w:r w:rsidR="00692B63" w:rsidRPr="00CC0429">
        <w:t>18</w:t>
      </w:r>
      <w:r w:rsidR="00E65EEA" w:rsidRPr="00CC0429">
        <w:t xml:space="preserve"> m. </w:t>
      </w:r>
      <w:r w:rsidR="00692B63" w:rsidRPr="00CC0429">
        <w:t>liepos 11</w:t>
      </w:r>
      <w:r w:rsidR="00E65EEA" w:rsidRPr="00CC0429">
        <w:t xml:space="preserve"> d. nutarimu Nr.</w:t>
      </w:r>
      <w:r w:rsidR="00692B63" w:rsidRPr="00CC0429">
        <w:t xml:space="preserve">679 </w:t>
      </w:r>
      <w:r w:rsidR="00E65EEA" w:rsidRPr="00CC0429">
        <w:t>„Dėl Mok</w:t>
      </w:r>
      <w:r w:rsidR="00692B63" w:rsidRPr="00CC0429">
        <w:t xml:space="preserve">ymo lėšų apskaičiavimo, </w:t>
      </w:r>
      <w:r w:rsidR="00E65EEA" w:rsidRPr="00CC0429">
        <w:t>paskirstymo</w:t>
      </w:r>
      <w:r w:rsidR="00692B63" w:rsidRPr="00CC0429">
        <w:t xml:space="preserve"> ir panaudojimo tvarkos aprašo</w:t>
      </w:r>
      <w:r w:rsidR="002369FE">
        <w:t xml:space="preserve"> patvirtinimo“,</w:t>
      </w:r>
      <w:r w:rsidR="00692B63" w:rsidRPr="00CC0429">
        <w:t xml:space="preserve"> </w:t>
      </w:r>
      <w:r w:rsidR="00E51742" w:rsidRPr="00CC0429">
        <w:t>Rokiškio</w:t>
      </w:r>
      <w:r w:rsidRPr="00CC0429">
        <w:t xml:space="preserve"> rajono savivaldybės taryba n u s p r e n d ž i a:</w:t>
      </w:r>
    </w:p>
    <w:p w:rsidR="001A1D58" w:rsidRPr="00CC0429" w:rsidRDefault="00A8311C" w:rsidP="002369FE">
      <w:pPr>
        <w:ind w:firstLine="851"/>
        <w:jc w:val="both"/>
      </w:pPr>
      <w:r w:rsidRPr="00CC0429">
        <w:t xml:space="preserve">1. </w:t>
      </w:r>
      <w:r w:rsidR="001A1D58" w:rsidRPr="00CC0429">
        <w:t xml:space="preserve">Patvirtinti </w:t>
      </w:r>
      <w:r w:rsidR="00E51742" w:rsidRPr="00CC0429">
        <w:t>Rokiškio</w:t>
      </w:r>
      <w:r w:rsidR="001A1D58" w:rsidRPr="00CC0429">
        <w:t xml:space="preserve"> rajono savivaldybės </w:t>
      </w:r>
      <w:r w:rsidR="00692B63" w:rsidRPr="00CC0429">
        <w:t>mokymo</w:t>
      </w:r>
      <w:r w:rsidR="001A1D58" w:rsidRPr="00CC0429">
        <w:t xml:space="preserve"> lėšų</w:t>
      </w:r>
      <w:r w:rsidR="001A1D58" w:rsidRPr="00CC0429">
        <w:rPr>
          <w:color w:val="993300"/>
        </w:rPr>
        <w:t xml:space="preserve"> </w:t>
      </w:r>
      <w:r w:rsidR="001A1D58" w:rsidRPr="00CC0429">
        <w:t>paskirstymo, perskirstymo ir naudojimo tvarkos aprašą (pridedama).</w:t>
      </w:r>
    </w:p>
    <w:p w:rsidR="00B41834" w:rsidRPr="00CC0429" w:rsidRDefault="00E51742" w:rsidP="002369FE">
      <w:pPr>
        <w:ind w:firstLine="851"/>
        <w:jc w:val="both"/>
      </w:pPr>
      <w:r w:rsidRPr="00CC0429">
        <w:t xml:space="preserve">2. </w:t>
      </w:r>
      <w:r w:rsidR="00692B63" w:rsidRPr="00CC0429">
        <w:t>Pripažinti</w:t>
      </w:r>
      <w:r w:rsidRPr="00CC0429">
        <w:t xml:space="preserve"> netekusi</w:t>
      </w:r>
      <w:r w:rsidR="00B41834" w:rsidRPr="00CC0429">
        <w:t>u</w:t>
      </w:r>
      <w:r w:rsidR="001A1D58" w:rsidRPr="00CC0429">
        <w:t xml:space="preserve"> galios</w:t>
      </w:r>
      <w:r w:rsidR="00B41834" w:rsidRPr="00CC0429">
        <w:t xml:space="preserve"> Rokiškio rajono savivaldybės tarybos 201</w:t>
      </w:r>
      <w:r w:rsidR="005E1607" w:rsidRPr="00CC0429">
        <w:t>6</w:t>
      </w:r>
      <w:r w:rsidR="00B41834" w:rsidRPr="00CC0429">
        <w:t xml:space="preserve"> m. </w:t>
      </w:r>
      <w:r w:rsidR="00692B63" w:rsidRPr="00CC0429">
        <w:t>balandžio 29</w:t>
      </w:r>
      <w:r w:rsidR="00B41834" w:rsidRPr="00CC0429">
        <w:t xml:space="preserve"> d. sprendimą Nr. TS-</w:t>
      </w:r>
      <w:r w:rsidR="002369FE">
        <w:t>114</w:t>
      </w:r>
      <w:r w:rsidR="00692B63" w:rsidRPr="00CC0429">
        <w:t xml:space="preserve"> „Dėl </w:t>
      </w:r>
      <w:r w:rsidR="00F46B3D" w:rsidRPr="00CC0429">
        <w:t>M</w:t>
      </w:r>
      <w:r w:rsidR="002369FE">
        <w:t>okinio krepšelio lėšų</w:t>
      </w:r>
      <w:r w:rsidR="00A34B2B" w:rsidRPr="00CC0429">
        <w:t xml:space="preserve"> </w:t>
      </w:r>
      <w:r w:rsidR="00B41834" w:rsidRPr="00CC0429">
        <w:t>pas</w:t>
      </w:r>
      <w:r w:rsidR="00A34B2B" w:rsidRPr="00CC0429">
        <w:t>kirstymo</w:t>
      </w:r>
      <w:r w:rsidR="00F83F7B" w:rsidRPr="00CC0429">
        <w:t>, perskirstymo ir naudojimo</w:t>
      </w:r>
      <w:r w:rsidR="00B41834" w:rsidRPr="00CC0429">
        <w:t xml:space="preserve"> tvarkos aprašo </w:t>
      </w:r>
      <w:r w:rsidR="009B3032" w:rsidRPr="00CC0429">
        <w:t>patvirtinimo“.</w:t>
      </w:r>
    </w:p>
    <w:p w:rsidR="00692B63" w:rsidRPr="00CC0429" w:rsidRDefault="00692B63" w:rsidP="002369FE">
      <w:pPr>
        <w:ind w:firstLine="851"/>
      </w:pPr>
      <w:r w:rsidRPr="00CC0429">
        <w:t>3. Nustatyti, kad sprendimas įsigalioja nuo 2018 m. rugsėjo 1 d.</w:t>
      </w:r>
    </w:p>
    <w:p w:rsidR="00A34B2B" w:rsidRPr="00CC0429" w:rsidRDefault="00692B63" w:rsidP="002369FE">
      <w:pPr>
        <w:ind w:firstLine="851"/>
        <w:jc w:val="both"/>
      </w:pPr>
      <w:r w:rsidRPr="00CC0429">
        <w:t>S</w:t>
      </w:r>
      <w:r w:rsidR="00A34B2B" w:rsidRPr="00CC0429">
        <w:t xml:space="preserve">prendimas </w:t>
      </w:r>
      <w:r w:rsidRPr="00CC0429">
        <w:t xml:space="preserve">per vieną mėnesį gali būti </w:t>
      </w:r>
      <w:r w:rsidR="00A34B2B" w:rsidRPr="00CC0429">
        <w:t>skundžiamas</w:t>
      </w:r>
      <w:r w:rsidRPr="00CC0429">
        <w:t xml:space="preserve"> Regionų apygardos administracinio teismo Panevėžio rūmams (Respublikos g.</w:t>
      </w:r>
      <w:r w:rsidR="00025289" w:rsidRPr="00CC0429">
        <w:t xml:space="preserve"> 62, Panevėžys) </w:t>
      </w:r>
      <w:r w:rsidR="00A34B2B" w:rsidRPr="00CC0429">
        <w:t>Lietuvos Respublikos administracinių bylų teisenos įstatymo nustatyta tvarka.</w:t>
      </w:r>
    </w:p>
    <w:p w:rsidR="00A34B2B" w:rsidRPr="00CC0429" w:rsidRDefault="00A34B2B" w:rsidP="00102258">
      <w:pPr>
        <w:ind w:firstLine="1276"/>
      </w:pPr>
    </w:p>
    <w:p w:rsidR="00B41834" w:rsidRDefault="00B41834" w:rsidP="00E51742">
      <w:pPr>
        <w:spacing w:line="360" w:lineRule="auto"/>
        <w:ind w:firstLine="1276"/>
      </w:pPr>
    </w:p>
    <w:p w:rsidR="002369FE" w:rsidRPr="00CC0429" w:rsidRDefault="002369FE" w:rsidP="00E51742">
      <w:pPr>
        <w:spacing w:line="360" w:lineRule="auto"/>
        <w:ind w:firstLine="1276"/>
      </w:pPr>
    </w:p>
    <w:p w:rsidR="00AB10C6" w:rsidRPr="00CC0429" w:rsidRDefault="00A34B2B" w:rsidP="00AB10C6">
      <w:r w:rsidRPr="00CC0429">
        <w:t>Savivaldybės m</w:t>
      </w:r>
      <w:r w:rsidR="00AB10C6" w:rsidRPr="00CC0429">
        <w:t xml:space="preserve">eras                                                                    </w:t>
      </w:r>
      <w:r w:rsidRPr="00CC0429">
        <w:t xml:space="preserve">       </w:t>
      </w:r>
      <w:r w:rsidR="00943FA9" w:rsidRPr="00CC0429">
        <w:tab/>
      </w:r>
      <w:r w:rsidR="00AB10C6" w:rsidRPr="00CC0429">
        <w:t xml:space="preserve"> </w:t>
      </w:r>
      <w:r w:rsidR="00BE5732" w:rsidRPr="00CC0429">
        <w:t>Antanas Vagonis</w:t>
      </w:r>
    </w:p>
    <w:p w:rsidR="00AB10C6" w:rsidRPr="00CC0429" w:rsidRDefault="00AB10C6" w:rsidP="00AB10C6"/>
    <w:p w:rsidR="00AB10C6" w:rsidRPr="00CC0429" w:rsidRDefault="00AB10C6" w:rsidP="00AB10C6"/>
    <w:p w:rsidR="00A07A7E" w:rsidRPr="00CC0429" w:rsidRDefault="00A07A7E" w:rsidP="00577784"/>
    <w:p w:rsidR="00491938" w:rsidRPr="00CC0429" w:rsidRDefault="00491938" w:rsidP="00203F0C"/>
    <w:p w:rsidR="00491938" w:rsidRDefault="00491938" w:rsidP="00203F0C"/>
    <w:p w:rsidR="002369FE" w:rsidRDefault="002369FE" w:rsidP="00203F0C"/>
    <w:p w:rsidR="002369FE" w:rsidRDefault="002369FE" w:rsidP="00203F0C"/>
    <w:p w:rsidR="002369FE" w:rsidRDefault="002369FE" w:rsidP="00203F0C"/>
    <w:p w:rsidR="002369FE" w:rsidRDefault="002369FE" w:rsidP="00203F0C"/>
    <w:p w:rsidR="002369FE" w:rsidRDefault="002369FE" w:rsidP="00203F0C"/>
    <w:p w:rsidR="002369FE" w:rsidRDefault="002369FE" w:rsidP="00203F0C"/>
    <w:p w:rsidR="002369FE" w:rsidRDefault="002369FE" w:rsidP="00203F0C"/>
    <w:p w:rsidR="002369FE" w:rsidRDefault="002369FE" w:rsidP="00203F0C"/>
    <w:p w:rsidR="002369FE" w:rsidRDefault="002369FE" w:rsidP="00203F0C"/>
    <w:p w:rsidR="002369FE" w:rsidRDefault="002369FE" w:rsidP="00203F0C"/>
    <w:p w:rsidR="002369FE" w:rsidRDefault="002369FE" w:rsidP="00203F0C"/>
    <w:p w:rsidR="002369FE" w:rsidRDefault="002369FE" w:rsidP="00203F0C"/>
    <w:p w:rsidR="002369FE" w:rsidRDefault="002369FE" w:rsidP="00203F0C"/>
    <w:p w:rsidR="002369FE" w:rsidRPr="00CC0429" w:rsidRDefault="002369FE" w:rsidP="00203F0C"/>
    <w:p w:rsidR="00B97D94" w:rsidRPr="00CC0429" w:rsidRDefault="00491938" w:rsidP="00DB75B9">
      <w:r w:rsidRPr="00CC0429">
        <w:t>A</w:t>
      </w:r>
      <w:r w:rsidR="00577784" w:rsidRPr="00CC0429">
        <w:t xml:space="preserve">ldona </w:t>
      </w:r>
      <w:proofErr w:type="spellStart"/>
      <w:r w:rsidRPr="00CC0429">
        <w:t>Burdinavičiūtė</w:t>
      </w:r>
      <w:proofErr w:type="spellEnd"/>
    </w:p>
    <w:p w:rsidR="00203F0C" w:rsidRPr="00CC0429" w:rsidRDefault="00DB75B9" w:rsidP="00DB75B9">
      <w:r w:rsidRPr="00CC0429">
        <w:lastRenderedPageBreak/>
        <w:tab/>
      </w:r>
      <w:r w:rsidRPr="00CC0429">
        <w:tab/>
      </w:r>
      <w:r w:rsidRPr="00CC0429">
        <w:tab/>
      </w:r>
      <w:r w:rsidRPr="00CC0429">
        <w:tab/>
      </w:r>
      <w:r w:rsidR="00203F0C" w:rsidRPr="00CC0429">
        <w:t xml:space="preserve">PATVIRTINTA </w:t>
      </w:r>
    </w:p>
    <w:p w:rsidR="00DB75B9" w:rsidRPr="00CC0429" w:rsidRDefault="00B97D94" w:rsidP="00B97D94">
      <w:r w:rsidRPr="00CC0429">
        <w:tab/>
      </w:r>
      <w:r w:rsidRPr="00CC0429">
        <w:tab/>
      </w:r>
      <w:r w:rsidRPr="00CC0429">
        <w:tab/>
      </w:r>
      <w:r w:rsidRPr="00CC0429">
        <w:tab/>
      </w:r>
      <w:r w:rsidR="00203F0C" w:rsidRPr="00CC0429">
        <w:t>Roki</w:t>
      </w:r>
      <w:r w:rsidR="00DB75B9" w:rsidRPr="00CC0429">
        <w:t xml:space="preserve">škio rajono savivaldybės tarybos </w:t>
      </w:r>
    </w:p>
    <w:p w:rsidR="00203F0C" w:rsidRPr="00CC0429" w:rsidRDefault="00B97D94" w:rsidP="00B97D94">
      <w:r w:rsidRPr="00CC0429">
        <w:tab/>
      </w:r>
      <w:r w:rsidRPr="00CC0429">
        <w:tab/>
      </w:r>
      <w:r w:rsidRPr="00CC0429">
        <w:tab/>
      </w:r>
      <w:r w:rsidRPr="00CC0429">
        <w:tab/>
      </w:r>
      <w:r w:rsidR="00DB75B9" w:rsidRPr="00CC0429">
        <w:t>2</w:t>
      </w:r>
      <w:r w:rsidR="00203F0C" w:rsidRPr="00CC0429">
        <w:t>01</w:t>
      </w:r>
      <w:r w:rsidR="00F21B7B" w:rsidRPr="00CC0429">
        <w:t>8</w:t>
      </w:r>
      <w:r w:rsidR="00203F0C" w:rsidRPr="00CC0429">
        <w:t xml:space="preserve"> m. </w:t>
      </w:r>
      <w:r w:rsidR="002369FE">
        <w:t>rugsėjo 28</w:t>
      </w:r>
      <w:r w:rsidR="006638EF" w:rsidRPr="00CC0429">
        <w:t xml:space="preserve"> </w:t>
      </w:r>
      <w:r w:rsidR="00203F0C" w:rsidRPr="00CC0429">
        <w:t>d</w:t>
      </w:r>
      <w:r w:rsidR="006638EF" w:rsidRPr="00CC0429">
        <w:t>.</w:t>
      </w:r>
      <w:r w:rsidR="00DB75B9" w:rsidRPr="00CC0429">
        <w:t xml:space="preserve"> </w:t>
      </w:r>
      <w:r w:rsidR="00203F0C" w:rsidRPr="00CC0429">
        <w:t>sprendimu Nr.</w:t>
      </w:r>
      <w:r w:rsidRPr="00CC0429">
        <w:t xml:space="preserve"> </w:t>
      </w:r>
      <w:r w:rsidR="004D2714" w:rsidRPr="00CC0429">
        <w:t>TS-</w:t>
      </w:r>
      <w:r w:rsidR="00203F0C" w:rsidRPr="00CC0429">
        <w:t xml:space="preserve">   </w:t>
      </w:r>
    </w:p>
    <w:p w:rsidR="00AD26A7" w:rsidRPr="00CC0429" w:rsidRDefault="00AD26A7" w:rsidP="00AD26A7">
      <w:pPr>
        <w:jc w:val="center"/>
        <w:rPr>
          <w:b/>
        </w:rPr>
      </w:pPr>
    </w:p>
    <w:p w:rsidR="00AD26A7" w:rsidRPr="00CC0429" w:rsidRDefault="00AD26A7" w:rsidP="00AD26A7">
      <w:pPr>
        <w:jc w:val="center"/>
        <w:rPr>
          <w:b/>
        </w:rPr>
      </w:pPr>
    </w:p>
    <w:p w:rsidR="00AD26A7" w:rsidRPr="00CC0429" w:rsidRDefault="008C644C" w:rsidP="00771B74">
      <w:pPr>
        <w:jc w:val="center"/>
        <w:rPr>
          <w:b/>
        </w:rPr>
      </w:pPr>
      <w:r w:rsidRPr="00CC0429">
        <w:rPr>
          <w:b/>
        </w:rPr>
        <w:t>ROKIŠKIO</w:t>
      </w:r>
      <w:r w:rsidR="00432DCC" w:rsidRPr="00CC0429">
        <w:rPr>
          <w:b/>
        </w:rPr>
        <w:t xml:space="preserve"> RAJONO SAVIVALDYBEI SKIRTŲ VALSTYBĖS BIUDŽETO</w:t>
      </w:r>
      <w:r w:rsidR="00AD26A7" w:rsidRPr="00CC0429">
        <w:rPr>
          <w:b/>
        </w:rPr>
        <w:t xml:space="preserve"> MOK</w:t>
      </w:r>
      <w:r w:rsidR="00F21B7B" w:rsidRPr="00CC0429">
        <w:rPr>
          <w:b/>
        </w:rPr>
        <w:t>YMO</w:t>
      </w:r>
      <w:r w:rsidR="00AD26A7" w:rsidRPr="00CC0429">
        <w:rPr>
          <w:b/>
        </w:rPr>
        <w:t xml:space="preserve"> LĖŠŲ PASKIRSTYMO, PERSKIRSTYMO IR NAUDOJIMO TVARKOS APRAŠAS</w:t>
      </w:r>
    </w:p>
    <w:p w:rsidR="0026258D" w:rsidRPr="00CC0429" w:rsidRDefault="0026258D" w:rsidP="00771B74">
      <w:pPr>
        <w:ind w:left="1080" w:hanging="720"/>
        <w:jc w:val="center"/>
        <w:rPr>
          <w:b/>
        </w:rPr>
      </w:pPr>
    </w:p>
    <w:p w:rsidR="004F7D5E" w:rsidRPr="00CC0429" w:rsidRDefault="004F7D5E" w:rsidP="0026258D">
      <w:pPr>
        <w:ind w:left="1080" w:hanging="720"/>
        <w:rPr>
          <w:b/>
          <w:bCs/>
        </w:rPr>
      </w:pPr>
      <w:r w:rsidRPr="00CC0429">
        <w:rPr>
          <w:b/>
          <w:bCs/>
        </w:rPr>
        <w:t>I.</w:t>
      </w:r>
      <w:r w:rsidRPr="00CC0429">
        <w:rPr>
          <w:b/>
          <w:bCs/>
        </w:rPr>
        <w:tab/>
        <w:t>BENDROSIOS NUOSTATOS</w:t>
      </w:r>
    </w:p>
    <w:p w:rsidR="004F7D5E" w:rsidRPr="00CC0429" w:rsidRDefault="004F7D5E" w:rsidP="004F7D5E">
      <w:pPr>
        <w:jc w:val="center"/>
        <w:rPr>
          <w:b/>
          <w:bCs/>
        </w:rPr>
      </w:pPr>
    </w:p>
    <w:p w:rsidR="00E37EBF" w:rsidRPr="00CC0429" w:rsidRDefault="00E37EBF" w:rsidP="00E37EBF">
      <w:pPr>
        <w:tabs>
          <w:tab w:val="left" w:pos="284"/>
          <w:tab w:val="left" w:pos="993"/>
        </w:tabs>
        <w:jc w:val="both"/>
        <w:rPr>
          <w:bCs/>
        </w:rPr>
      </w:pPr>
      <w:r w:rsidRPr="00CC0429">
        <w:rPr>
          <w:bCs/>
        </w:rPr>
        <w:tab/>
      </w:r>
      <w:r w:rsidRPr="00CC0429">
        <w:rPr>
          <w:bCs/>
        </w:rPr>
        <w:tab/>
        <w:t xml:space="preserve">1. </w:t>
      </w:r>
      <w:r w:rsidR="00432DCC" w:rsidRPr="00CC0429">
        <w:rPr>
          <w:bCs/>
        </w:rPr>
        <w:t>Valstybės biudžeto m</w:t>
      </w:r>
      <w:r w:rsidR="004F7D5E" w:rsidRPr="00CC0429">
        <w:rPr>
          <w:bCs/>
        </w:rPr>
        <w:t xml:space="preserve">okymo lėšų, skirtų </w:t>
      </w:r>
      <w:r w:rsidR="00D95D64" w:rsidRPr="00CC0429">
        <w:rPr>
          <w:bCs/>
        </w:rPr>
        <w:t>Rokiškio rajono savivaldybei</w:t>
      </w:r>
      <w:r w:rsidR="004F7D5E" w:rsidRPr="00CC0429">
        <w:rPr>
          <w:bCs/>
        </w:rPr>
        <w:t xml:space="preserve"> ugdymo  reikmėms tenkinti, paskirstymo tvarkos aprašas (toliau – tvarkos aprašas) reglamentuoja savivaldybei skirtų mokymo lėšų ugdymo reikmėms tenkinti paskirstymą savivaldybės mokykloms, teikiančioms ikimokyklinį, priešmokyklinį ir bendrąjį ugdymą, mokykloms, įgyvendinančioms formalųjį švietimą papildančio ugdymo programas</w:t>
      </w:r>
      <w:r w:rsidR="0026089C" w:rsidRPr="00CC0429">
        <w:rPr>
          <w:bCs/>
        </w:rPr>
        <w:t xml:space="preserve"> </w:t>
      </w:r>
      <w:r w:rsidR="00F337E2" w:rsidRPr="00CC0429">
        <w:rPr>
          <w:bCs/>
        </w:rPr>
        <w:t>(</w:t>
      </w:r>
      <w:r w:rsidR="0026089C" w:rsidRPr="00CC0429">
        <w:rPr>
          <w:bCs/>
        </w:rPr>
        <w:t>toliau – mokyklos)</w:t>
      </w:r>
      <w:r w:rsidR="004F7D5E" w:rsidRPr="00CC0429">
        <w:rPr>
          <w:bCs/>
        </w:rPr>
        <w:t>, taip pat pedagoginei</w:t>
      </w:r>
      <w:r w:rsidR="00771B74" w:rsidRPr="00CC0429">
        <w:rPr>
          <w:bCs/>
        </w:rPr>
        <w:t>-</w:t>
      </w:r>
      <w:r w:rsidR="004F7D5E" w:rsidRPr="00CC0429">
        <w:rPr>
          <w:bCs/>
        </w:rPr>
        <w:t xml:space="preserve"> psichologinei tarnyb</w:t>
      </w:r>
      <w:r w:rsidRPr="00CC0429">
        <w:rPr>
          <w:bCs/>
        </w:rPr>
        <w:t>ai.</w:t>
      </w:r>
    </w:p>
    <w:p w:rsidR="00E37EBF" w:rsidRPr="00CC0429" w:rsidRDefault="00E37EBF" w:rsidP="00E37EBF">
      <w:pPr>
        <w:tabs>
          <w:tab w:val="left" w:pos="284"/>
          <w:tab w:val="left" w:pos="993"/>
        </w:tabs>
        <w:jc w:val="both"/>
        <w:rPr>
          <w:bCs/>
        </w:rPr>
      </w:pPr>
      <w:r w:rsidRPr="00CC0429">
        <w:tab/>
      </w:r>
      <w:r w:rsidRPr="00CC0429">
        <w:tab/>
        <w:t>Lėšos ugdymo planui (ugdomajai veiklai) įgyvendinti skiriamos mokykloms atsižvelgiant į sąlyginį klasės (grupės) dydį mokinių sraute ir jų skaičių einamųjų metų rugsėjo 1 d. Šias lėšas L</w:t>
      </w:r>
      <w:r w:rsidR="00771B74" w:rsidRPr="00CC0429">
        <w:t>ietuvos Respublikos š</w:t>
      </w:r>
      <w:r w:rsidRPr="00CC0429">
        <w:t xml:space="preserve">vietimo ir mokslo ministerija paskirsto mokykloms, todėl šis aprašas lėšų ugdymo planui (ugdomajai veiklai) įgyvendinti  paskirstymo nereglamentuoja. </w:t>
      </w:r>
      <w:r w:rsidR="000C011D" w:rsidRPr="00CC0429">
        <w:t>Nuo 2019 m.</w:t>
      </w:r>
      <w:r w:rsidR="00471FB3" w:rsidRPr="00CC0429">
        <w:t xml:space="preserve"> </w:t>
      </w:r>
      <w:r w:rsidR="000C011D" w:rsidRPr="00CC0429">
        <w:t>skiriama savivaldybės biudžeto lėšų ugdomajai veiklai, kai faktinis mokinių skaičius mokinių sraute yra mažesnis už mažiausią sąlyginės klasės mokinių skaičių pagal Vyriausybės patvirtinto Mokymo lėšų apskaičiavimo, paskirstymo ir naudojimo tvarkos aprašo nuostatas.</w:t>
      </w:r>
    </w:p>
    <w:p w:rsidR="00E37EBF" w:rsidRPr="00CC0429" w:rsidRDefault="00432DCC" w:rsidP="00E37EBF">
      <w:pPr>
        <w:numPr>
          <w:ilvl w:val="0"/>
          <w:numId w:val="9"/>
        </w:numPr>
        <w:tabs>
          <w:tab w:val="left" w:pos="284"/>
          <w:tab w:val="left" w:pos="993"/>
        </w:tabs>
        <w:jc w:val="both"/>
        <w:rPr>
          <w:bCs/>
        </w:rPr>
      </w:pPr>
      <w:r w:rsidRPr="00CC0429">
        <w:rPr>
          <w:bCs/>
        </w:rPr>
        <w:t xml:space="preserve">Valstybės biudžeto </w:t>
      </w:r>
      <w:r w:rsidR="004F7D5E" w:rsidRPr="00CC0429">
        <w:rPr>
          <w:bCs/>
        </w:rPr>
        <w:t>mokymo lėšos, skirtos savivaldybei ugdymo reikmėms tenkinti</w:t>
      </w:r>
      <w:r w:rsidR="00E37EBF" w:rsidRPr="00CC0429">
        <w:rPr>
          <w:bCs/>
        </w:rPr>
        <w:t>:</w:t>
      </w:r>
    </w:p>
    <w:p w:rsidR="004F7D5E" w:rsidRPr="00CC0429" w:rsidRDefault="00E37EBF" w:rsidP="00E37EBF">
      <w:pPr>
        <w:numPr>
          <w:ilvl w:val="1"/>
          <w:numId w:val="9"/>
        </w:numPr>
        <w:tabs>
          <w:tab w:val="left" w:pos="284"/>
          <w:tab w:val="left" w:pos="993"/>
        </w:tabs>
        <w:jc w:val="both"/>
        <w:rPr>
          <w:bCs/>
        </w:rPr>
      </w:pPr>
      <w:r w:rsidRPr="00CC0429">
        <w:rPr>
          <w:bCs/>
        </w:rPr>
        <w:t>ugdymo procesui organizuoti ir valdyti;</w:t>
      </w:r>
    </w:p>
    <w:p w:rsidR="00E37EBF" w:rsidRPr="00CC0429" w:rsidRDefault="00E37EBF" w:rsidP="00E37EBF">
      <w:pPr>
        <w:numPr>
          <w:ilvl w:val="1"/>
          <w:numId w:val="9"/>
        </w:numPr>
        <w:tabs>
          <w:tab w:val="left" w:pos="284"/>
          <w:tab w:val="left" w:pos="993"/>
        </w:tabs>
        <w:jc w:val="both"/>
        <w:rPr>
          <w:bCs/>
        </w:rPr>
      </w:pPr>
      <w:r w:rsidRPr="00CC0429">
        <w:rPr>
          <w:bCs/>
        </w:rPr>
        <w:t>švietimo pagalbai mokyklose ir pedagoginei-psichologinei tarnybai;</w:t>
      </w:r>
    </w:p>
    <w:p w:rsidR="00E37EBF" w:rsidRPr="00CC0429" w:rsidRDefault="00E37EBF" w:rsidP="00E37EBF">
      <w:pPr>
        <w:numPr>
          <w:ilvl w:val="1"/>
          <w:numId w:val="9"/>
        </w:numPr>
        <w:tabs>
          <w:tab w:val="left" w:pos="284"/>
          <w:tab w:val="left" w:pos="993"/>
        </w:tabs>
        <w:jc w:val="both"/>
        <w:rPr>
          <w:bCs/>
        </w:rPr>
      </w:pPr>
      <w:r w:rsidRPr="00CC0429">
        <w:rPr>
          <w:bCs/>
        </w:rPr>
        <w:t xml:space="preserve"> mokymosi pasiekimų patikrinimams organizuoti ir vykdyti;</w:t>
      </w:r>
    </w:p>
    <w:p w:rsidR="00E37EBF" w:rsidRPr="00CC0429" w:rsidRDefault="00E37EBF" w:rsidP="00E37EBF">
      <w:pPr>
        <w:numPr>
          <w:ilvl w:val="1"/>
          <w:numId w:val="9"/>
        </w:numPr>
        <w:tabs>
          <w:tab w:val="left" w:pos="284"/>
          <w:tab w:val="left" w:pos="993"/>
        </w:tabs>
        <w:jc w:val="both"/>
        <w:rPr>
          <w:bCs/>
        </w:rPr>
      </w:pPr>
      <w:r w:rsidRPr="00CC0429">
        <w:rPr>
          <w:bCs/>
        </w:rPr>
        <w:t>formalųjį švietimą papildančio ugdymo programoms finansuoti;</w:t>
      </w:r>
    </w:p>
    <w:p w:rsidR="00E37EBF" w:rsidRPr="00CC0429" w:rsidRDefault="0009265D" w:rsidP="00E37EBF">
      <w:pPr>
        <w:numPr>
          <w:ilvl w:val="1"/>
          <w:numId w:val="9"/>
        </w:numPr>
        <w:tabs>
          <w:tab w:val="left" w:pos="284"/>
          <w:tab w:val="left" w:pos="993"/>
        </w:tabs>
        <w:jc w:val="both"/>
        <w:rPr>
          <w:bCs/>
        </w:rPr>
      </w:pPr>
      <w:r w:rsidRPr="00CC0429">
        <w:rPr>
          <w:bCs/>
        </w:rPr>
        <w:t>lėšos ugdymo finansavimo poreikių skirtumams tarp mokyklų sumažinti  (2 proc. apskaičiuoti nuo lėšų ugdymo planui (ugdomajai veiklai) įgyvendinti sumos).</w:t>
      </w:r>
    </w:p>
    <w:p w:rsidR="004F7D5E" w:rsidRPr="00CC0429" w:rsidRDefault="0009265D" w:rsidP="004F7D5E">
      <w:pPr>
        <w:tabs>
          <w:tab w:val="left" w:pos="284"/>
          <w:tab w:val="left" w:pos="993"/>
        </w:tabs>
        <w:ind w:firstLine="567"/>
        <w:jc w:val="both"/>
        <w:rPr>
          <w:bCs/>
        </w:rPr>
      </w:pPr>
      <w:r w:rsidRPr="00CC0429">
        <w:rPr>
          <w:bCs/>
        </w:rPr>
        <w:tab/>
      </w:r>
      <w:r w:rsidR="004F7D5E" w:rsidRPr="00CC0429">
        <w:rPr>
          <w:bCs/>
        </w:rPr>
        <w:t>3.</w:t>
      </w:r>
      <w:r w:rsidR="004F7D5E" w:rsidRPr="00CC0429">
        <w:rPr>
          <w:bCs/>
        </w:rPr>
        <w:tab/>
      </w:r>
      <w:r w:rsidR="00D95D64" w:rsidRPr="00CC0429">
        <w:rPr>
          <w:bCs/>
        </w:rPr>
        <w:t>M</w:t>
      </w:r>
      <w:r w:rsidR="004F7D5E" w:rsidRPr="00CC0429">
        <w:rPr>
          <w:bCs/>
        </w:rPr>
        <w:t xml:space="preserve">okymo lėšų suma, skirta savivaldybei ugdymo reikmėms tenkinti, apskaičiuojama remiantis Lietuvos Respublikos Vyriausybės 2018 m. liepos 11 d. nutarimu Nr. 679 patvirtintu Mokymo lėšų apskaičiavimo, paskirstymo ir panaudojimo tvarkos aprašu (toliau – Aprašas). </w:t>
      </w:r>
    </w:p>
    <w:p w:rsidR="004F7D5E" w:rsidRPr="00CC0429" w:rsidRDefault="004F7D5E" w:rsidP="004F7D5E">
      <w:pPr>
        <w:tabs>
          <w:tab w:val="left" w:pos="284"/>
          <w:tab w:val="left" w:pos="993"/>
        </w:tabs>
        <w:jc w:val="both"/>
        <w:rPr>
          <w:bCs/>
        </w:rPr>
      </w:pPr>
    </w:p>
    <w:p w:rsidR="004F7D5E" w:rsidRPr="00CC0429" w:rsidRDefault="004F7D5E" w:rsidP="004F7D5E">
      <w:pPr>
        <w:tabs>
          <w:tab w:val="left" w:pos="284"/>
          <w:tab w:val="left" w:pos="993"/>
        </w:tabs>
        <w:ind w:left="1080" w:hanging="720"/>
        <w:jc w:val="center"/>
        <w:rPr>
          <w:b/>
          <w:bCs/>
        </w:rPr>
      </w:pPr>
      <w:r w:rsidRPr="00CC0429">
        <w:rPr>
          <w:b/>
          <w:bCs/>
        </w:rPr>
        <w:t>II.</w:t>
      </w:r>
      <w:r w:rsidRPr="00CC0429">
        <w:rPr>
          <w:b/>
          <w:bCs/>
        </w:rPr>
        <w:tab/>
        <w:t xml:space="preserve">SPECIALIOS TIKSLINĖS DOTACIJOS MOKYMO LĖŠŲ, SKIRTŲ MOKYMO REIKMĖMS </w:t>
      </w:r>
      <w:r w:rsidRPr="00CC0429">
        <w:rPr>
          <w:b/>
        </w:rPr>
        <w:t>TENKINTI</w:t>
      </w:r>
      <w:r w:rsidRPr="00CC0429">
        <w:rPr>
          <w:b/>
          <w:bCs/>
        </w:rPr>
        <w:t>, PASKIRSTYMAS</w:t>
      </w:r>
    </w:p>
    <w:p w:rsidR="004F7D5E" w:rsidRPr="00CC0429" w:rsidRDefault="004F7D5E" w:rsidP="004F7D5E">
      <w:pPr>
        <w:tabs>
          <w:tab w:val="left" w:pos="284"/>
          <w:tab w:val="left" w:pos="993"/>
        </w:tabs>
        <w:jc w:val="center"/>
        <w:rPr>
          <w:bCs/>
        </w:rPr>
      </w:pPr>
    </w:p>
    <w:p w:rsidR="004F7D5E" w:rsidRPr="00CC0429" w:rsidRDefault="004F7D5E" w:rsidP="004F7D5E">
      <w:pPr>
        <w:tabs>
          <w:tab w:val="left" w:pos="284"/>
          <w:tab w:val="left" w:pos="993"/>
        </w:tabs>
        <w:ind w:firstLine="567"/>
        <w:jc w:val="both"/>
        <w:rPr>
          <w:bCs/>
        </w:rPr>
      </w:pPr>
      <w:r w:rsidRPr="00CC0429">
        <w:rPr>
          <w:bCs/>
        </w:rPr>
        <w:t>4.</w:t>
      </w:r>
      <w:r w:rsidRPr="00CC0429">
        <w:rPr>
          <w:bCs/>
        </w:rPr>
        <w:tab/>
        <w:t>Mok</w:t>
      </w:r>
      <w:r w:rsidR="00432DCC" w:rsidRPr="00CC0429">
        <w:rPr>
          <w:bCs/>
        </w:rPr>
        <w:t>ymo lėšos, apskaičiuotos pagal</w:t>
      </w:r>
      <w:r w:rsidR="00432DCC" w:rsidRPr="00CC0429">
        <w:t xml:space="preserve"> Lietuvos Respublikos Vyriausybės 2018 m. liepos 11 d. nutarimu Nr.679 „Dėl Mokymo lėšų apskaičiavimo, paskirstymo ir panaudojimo tvarkos aprašo patvirtinimo“, </w:t>
      </w:r>
      <w:r w:rsidRPr="00CC0429">
        <w:rPr>
          <w:bCs/>
        </w:rPr>
        <w:t xml:space="preserve">1 priede </w:t>
      </w:r>
      <w:r w:rsidR="00432DCC" w:rsidRPr="00CC0429">
        <w:rPr>
          <w:bCs/>
        </w:rPr>
        <w:t>nurodytus ugdymo reikmių koeficientus,</w:t>
      </w:r>
      <w:r w:rsidRPr="00CC0429">
        <w:rPr>
          <w:bCs/>
        </w:rPr>
        <w:t xml:space="preserve"> skiriamos šioms ugdymo reikmėms tenkinti:</w:t>
      </w:r>
    </w:p>
    <w:p w:rsidR="004F7D5E" w:rsidRPr="00CC0429" w:rsidRDefault="004F7D5E" w:rsidP="004F7D5E">
      <w:pPr>
        <w:tabs>
          <w:tab w:val="left" w:pos="284"/>
          <w:tab w:val="left" w:pos="993"/>
        </w:tabs>
        <w:ind w:firstLine="567"/>
        <w:jc w:val="both"/>
        <w:rPr>
          <w:bCs/>
        </w:rPr>
      </w:pPr>
      <w:r w:rsidRPr="00CC0429">
        <w:rPr>
          <w:bCs/>
        </w:rPr>
        <w:t>4.1. ugdymo procesui organizuoti ir valdyti;</w:t>
      </w:r>
    </w:p>
    <w:p w:rsidR="004F7D5E" w:rsidRPr="00CC0429" w:rsidRDefault="004F7D5E" w:rsidP="004F7D5E">
      <w:pPr>
        <w:tabs>
          <w:tab w:val="left" w:pos="284"/>
          <w:tab w:val="left" w:pos="993"/>
        </w:tabs>
        <w:ind w:left="927" w:hanging="360"/>
        <w:jc w:val="both"/>
        <w:rPr>
          <w:bCs/>
        </w:rPr>
      </w:pPr>
      <w:r w:rsidRPr="00CC0429">
        <w:rPr>
          <w:bCs/>
        </w:rPr>
        <w:t>4.2. švietimo pagalbai</w:t>
      </w:r>
      <w:r w:rsidR="006C4208" w:rsidRPr="00CC0429">
        <w:rPr>
          <w:bCs/>
        </w:rPr>
        <w:t xml:space="preserve"> mokyklose ir pedagoginei-psichologinei tarnybai;</w:t>
      </w:r>
    </w:p>
    <w:p w:rsidR="004F7D5E" w:rsidRPr="00CC0429" w:rsidRDefault="004F7D5E" w:rsidP="004F7D5E">
      <w:pPr>
        <w:tabs>
          <w:tab w:val="left" w:pos="284"/>
          <w:tab w:val="left" w:pos="993"/>
        </w:tabs>
        <w:ind w:left="927" w:hanging="360"/>
        <w:jc w:val="both"/>
        <w:rPr>
          <w:bCs/>
        </w:rPr>
      </w:pPr>
      <w:r w:rsidRPr="00CC0429">
        <w:rPr>
          <w:bCs/>
        </w:rPr>
        <w:t>4.3. mokymosi pasiekimų patikrinimams organizuoti ir vykdyti;</w:t>
      </w:r>
    </w:p>
    <w:p w:rsidR="004F7D5E" w:rsidRPr="00CC0429" w:rsidRDefault="004F7D5E" w:rsidP="004F7D5E">
      <w:pPr>
        <w:tabs>
          <w:tab w:val="left" w:pos="284"/>
          <w:tab w:val="left" w:pos="993"/>
        </w:tabs>
        <w:ind w:left="927" w:hanging="360"/>
        <w:jc w:val="both"/>
        <w:rPr>
          <w:bCs/>
        </w:rPr>
      </w:pPr>
      <w:r w:rsidRPr="00CC0429">
        <w:rPr>
          <w:bCs/>
        </w:rPr>
        <w:t>4.4.</w:t>
      </w:r>
      <w:r w:rsidRPr="00CC0429">
        <w:rPr>
          <w:bCs/>
        </w:rPr>
        <w:tab/>
        <w:t>formalųjį švietimą papildančio ugdymo programoms finansuoti</w:t>
      </w:r>
      <w:r w:rsidR="0009265D" w:rsidRPr="00CC0429">
        <w:rPr>
          <w:bCs/>
        </w:rPr>
        <w:t>;</w:t>
      </w:r>
    </w:p>
    <w:p w:rsidR="004F7D5E" w:rsidRPr="00CC0429" w:rsidRDefault="004F7D5E" w:rsidP="004F7D5E">
      <w:pPr>
        <w:tabs>
          <w:tab w:val="left" w:pos="284"/>
          <w:tab w:val="left" w:pos="993"/>
        </w:tabs>
        <w:ind w:firstLine="567"/>
        <w:jc w:val="both"/>
        <w:rPr>
          <w:bCs/>
        </w:rPr>
      </w:pPr>
      <w:r w:rsidRPr="00CC0429">
        <w:rPr>
          <w:bCs/>
        </w:rPr>
        <w:t>5. Tvarkos aprašo 4.1 papunktyje nurodytoms ugdymo reikmėms tenkinti</w:t>
      </w:r>
      <w:r w:rsidR="0009265D" w:rsidRPr="00CC0429">
        <w:rPr>
          <w:bCs/>
        </w:rPr>
        <w:t xml:space="preserve"> - ugdymo procesui organizuoti ir valdyti</w:t>
      </w:r>
      <w:r w:rsidRPr="00CC0429">
        <w:rPr>
          <w:bCs/>
        </w:rPr>
        <w:t>, lėšos skiriamos direktorių, direktorių pavaduotojų ugdymui, skyrių vedėjų (esant lėšų neformaliojo ugdymo organizatorių) etatams išlaikyti (darbo užmokesčiui</w:t>
      </w:r>
      <w:r w:rsidR="008D7965" w:rsidRPr="00CC0429">
        <w:rPr>
          <w:bCs/>
        </w:rPr>
        <w:t xml:space="preserve">, </w:t>
      </w:r>
      <w:r w:rsidR="002F3060" w:rsidRPr="00CC0429">
        <w:rPr>
          <w:bCs/>
        </w:rPr>
        <w:t>įskaitant pareiginės algos kintamąją dalį</w:t>
      </w:r>
      <w:r w:rsidRPr="00CC0429">
        <w:rPr>
          <w:bCs/>
        </w:rPr>
        <w:t xml:space="preserve"> ir su darbo santykiais susijusioms valstybinio socialinio draudimo ir sveikatos draudimo įmokoms, išm</w:t>
      </w:r>
      <w:r w:rsidR="002B2312" w:rsidRPr="00CC0429">
        <w:rPr>
          <w:bCs/>
        </w:rPr>
        <w:t xml:space="preserve">okoms ir kompensacijoms mokėti), priemokoms, kai nustatyta apimtimi ugdymo proceso organizavimo ir valdymo funkcijas vykdo kiti darbuotojai. </w:t>
      </w:r>
      <w:r w:rsidRPr="00CC0429">
        <w:rPr>
          <w:bCs/>
        </w:rPr>
        <w:t xml:space="preserve"> Ugdymo </w:t>
      </w:r>
      <w:r w:rsidRPr="00CC0429">
        <w:rPr>
          <w:bCs/>
        </w:rPr>
        <w:lastRenderedPageBreak/>
        <w:t xml:space="preserve">procesui organizuoti ir valdyti </w:t>
      </w:r>
      <w:r w:rsidR="00717391" w:rsidRPr="00CC0429">
        <w:rPr>
          <w:bCs/>
        </w:rPr>
        <w:t>lėšos paskaičiuojamos pagal vaikų skaičių įstaigoje einamųjų metų</w:t>
      </w:r>
      <w:r w:rsidR="00FF2BBC" w:rsidRPr="00CC0429">
        <w:rPr>
          <w:bCs/>
        </w:rPr>
        <w:t xml:space="preserve"> rugsėjo 1 d. Mokykloms</w:t>
      </w:r>
      <w:r w:rsidR="00717391" w:rsidRPr="00CC0429">
        <w:rPr>
          <w:bCs/>
        </w:rPr>
        <w:t xml:space="preserve"> skiriama 95 proc. joms priklausančių lėšų, </w:t>
      </w:r>
      <w:r w:rsidR="00420340" w:rsidRPr="00CC0429">
        <w:rPr>
          <w:bCs/>
        </w:rPr>
        <w:t xml:space="preserve">atsižvelgiant į tai, kad lėšos ugdymo procesui organizuoti ir valdyti sudarytų ne daugiau 10 proc. lėšų ugdymo planui įgyvendinti. </w:t>
      </w:r>
      <w:r w:rsidR="00717391" w:rsidRPr="00CC0429">
        <w:rPr>
          <w:bCs/>
        </w:rPr>
        <w:t>5 proc.</w:t>
      </w:r>
      <w:r w:rsidR="002D587C" w:rsidRPr="00CC0429">
        <w:rPr>
          <w:bCs/>
        </w:rPr>
        <w:t xml:space="preserve"> lėšų, skirtų ugdymo planui įgyvendinti. </w:t>
      </w:r>
      <w:r w:rsidR="00717391" w:rsidRPr="00CC0429">
        <w:rPr>
          <w:bCs/>
        </w:rPr>
        <w:t xml:space="preserve">perskirstoma, atsižvelgiant į </w:t>
      </w:r>
      <w:r w:rsidR="00FF2BBC" w:rsidRPr="00CC0429">
        <w:rPr>
          <w:bCs/>
        </w:rPr>
        <w:t>mokyklų specifiką (</w:t>
      </w:r>
      <w:r w:rsidR="002B2312" w:rsidRPr="00CC0429">
        <w:rPr>
          <w:bCs/>
        </w:rPr>
        <w:t xml:space="preserve">bendrabučių, </w:t>
      </w:r>
      <w:r w:rsidR="00FF2BBC" w:rsidRPr="00CC0429">
        <w:rPr>
          <w:bCs/>
        </w:rPr>
        <w:t>skyrių sk</w:t>
      </w:r>
      <w:r w:rsidR="00771B74" w:rsidRPr="00CC0429">
        <w:rPr>
          <w:bCs/>
        </w:rPr>
        <w:t>aičių</w:t>
      </w:r>
      <w:r w:rsidR="00FF2BBC" w:rsidRPr="00CC0429">
        <w:rPr>
          <w:bCs/>
        </w:rPr>
        <w:t>, rekomenduojamų pareigybių sk</w:t>
      </w:r>
      <w:r w:rsidR="00771B74" w:rsidRPr="00CC0429">
        <w:rPr>
          <w:bCs/>
        </w:rPr>
        <w:t>aičių</w:t>
      </w:r>
      <w:r w:rsidR="00FF2BBC" w:rsidRPr="00CC0429">
        <w:rPr>
          <w:bCs/>
        </w:rPr>
        <w:t xml:space="preserve"> ir kt.). </w:t>
      </w:r>
      <w:r w:rsidR="00102258" w:rsidRPr="00CC0429">
        <w:rPr>
          <w:bCs/>
        </w:rPr>
        <w:t xml:space="preserve">Mokyklų skyriams apskaičiuotos lėšos </w:t>
      </w:r>
      <w:r w:rsidR="00D127A1" w:rsidRPr="00CC0429">
        <w:rPr>
          <w:bCs/>
        </w:rPr>
        <w:t>(</w:t>
      </w:r>
      <w:r w:rsidR="00102258" w:rsidRPr="00CC0429">
        <w:rPr>
          <w:bCs/>
        </w:rPr>
        <w:t>arba jų dalis) gali būti skiriamos mokykloms, jeigu skyriuose nėra valdymo etatų.</w:t>
      </w:r>
    </w:p>
    <w:p w:rsidR="00372CC2" w:rsidRPr="00CC0429" w:rsidRDefault="00372CC2" w:rsidP="004F7D5E">
      <w:pPr>
        <w:tabs>
          <w:tab w:val="left" w:pos="284"/>
          <w:tab w:val="left" w:pos="993"/>
        </w:tabs>
        <w:ind w:firstLine="567"/>
        <w:jc w:val="both"/>
        <w:rPr>
          <w:bCs/>
        </w:rPr>
      </w:pPr>
      <w:r w:rsidRPr="00CC0429">
        <w:rPr>
          <w:bCs/>
        </w:rPr>
        <w:t xml:space="preserve">Ikimokyklinis ir priešmokyklinis ugdymas yra savivaldybės </w:t>
      </w:r>
      <w:proofErr w:type="spellStart"/>
      <w:r w:rsidRPr="00CC0429">
        <w:rPr>
          <w:bCs/>
        </w:rPr>
        <w:t>savaran</w:t>
      </w:r>
      <w:r w:rsidR="0009265D" w:rsidRPr="00CC0429">
        <w:rPr>
          <w:bCs/>
        </w:rPr>
        <w:t>kiškoji</w:t>
      </w:r>
      <w:proofErr w:type="spellEnd"/>
      <w:r w:rsidR="0009265D" w:rsidRPr="00CC0429">
        <w:rPr>
          <w:bCs/>
        </w:rPr>
        <w:t xml:space="preserve"> funkcija ir pagal Aprašo 1 priedą</w:t>
      </w:r>
      <w:r w:rsidRPr="00CC0429">
        <w:rPr>
          <w:bCs/>
        </w:rPr>
        <w:t xml:space="preserve"> mokinių, besimokančių pagal ikimokyklinio ir priešmokyklinio ugdymo programas, </w:t>
      </w:r>
      <w:r w:rsidR="0009265D" w:rsidRPr="00CC0429">
        <w:rPr>
          <w:bCs/>
        </w:rPr>
        <w:t xml:space="preserve">iš valstybės biudžeto </w:t>
      </w:r>
      <w:r w:rsidRPr="00CC0429">
        <w:rPr>
          <w:bCs/>
        </w:rPr>
        <w:t>mokymo reikmėms skiriama tik dalis mokymo lėšų (ugdymo procesui organizuoti ir valdyti – pusė šiam tikslui būtinos sumos)</w:t>
      </w:r>
      <w:r w:rsidR="001D0CF9" w:rsidRPr="00CC0429">
        <w:rPr>
          <w:bCs/>
        </w:rPr>
        <w:t>. Kitą finansavimo dalį šiam tikslui skir</w:t>
      </w:r>
      <w:r w:rsidR="00732F14" w:rsidRPr="00CC0429">
        <w:rPr>
          <w:bCs/>
        </w:rPr>
        <w:t>i</w:t>
      </w:r>
      <w:r w:rsidR="001D0CF9" w:rsidRPr="00CC0429">
        <w:rPr>
          <w:bCs/>
        </w:rPr>
        <w:t>a Savivaldybė iš savo biudžeto lėšų.</w:t>
      </w:r>
    </w:p>
    <w:p w:rsidR="004F7D5E" w:rsidRPr="00CC0429" w:rsidRDefault="004F7D5E" w:rsidP="004F7D5E">
      <w:pPr>
        <w:tabs>
          <w:tab w:val="left" w:pos="0"/>
          <w:tab w:val="left" w:pos="284"/>
        </w:tabs>
        <w:ind w:firstLine="567"/>
        <w:jc w:val="both"/>
        <w:rPr>
          <w:bCs/>
        </w:rPr>
      </w:pPr>
      <w:r w:rsidRPr="00CC0429">
        <w:rPr>
          <w:bCs/>
        </w:rPr>
        <w:t>6. Tvarkos aprašo 4.2 papunktyje nurodytoms ugdymo reikmėms tenkinti</w:t>
      </w:r>
      <w:r w:rsidR="0009265D" w:rsidRPr="00CC0429">
        <w:rPr>
          <w:bCs/>
        </w:rPr>
        <w:t xml:space="preserve"> </w:t>
      </w:r>
      <w:r w:rsidRPr="00CC0429">
        <w:rPr>
          <w:bCs/>
        </w:rPr>
        <w:t xml:space="preserve"> lėšos skiriamos švietimo pagalbai mokyklose </w:t>
      </w:r>
      <w:r w:rsidR="0026089C" w:rsidRPr="00CC0429">
        <w:rPr>
          <w:bCs/>
        </w:rPr>
        <w:t>(socialinių pedagogų, psichologų, specialiųjų pedagogų, logopedų, mokytojo padėjėjų, taip pat bibliotekos darbuotojų) etatams išlaikyti (darbo užmokesčiui ir su darbo santykiais susijusioms valstybinio socialinio draudimo ir sveikatos draudimo įmokoms, išmokoms ir kompensacijoms mokėti) bei</w:t>
      </w:r>
      <w:r w:rsidRPr="00CC0429">
        <w:rPr>
          <w:bCs/>
        </w:rPr>
        <w:t xml:space="preserve"> pedagoginei</w:t>
      </w:r>
      <w:r w:rsidR="00771B74" w:rsidRPr="00CC0429">
        <w:rPr>
          <w:bCs/>
        </w:rPr>
        <w:t>-</w:t>
      </w:r>
      <w:r w:rsidRPr="00CC0429">
        <w:rPr>
          <w:bCs/>
        </w:rPr>
        <w:t>psichologinei tarnybai</w:t>
      </w:r>
      <w:r w:rsidR="0026258D" w:rsidRPr="00CC0429">
        <w:rPr>
          <w:bCs/>
        </w:rPr>
        <w:t>. Pedagoginei-psichologinei tarnybai skirtos lėšos gali būti naudojamos: specialiojo pedagogo, logopedo, psichologo, socialinio pedagogo darbo užmokesčiui</w:t>
      </w:r>
      <w:r w:rsidRPr="00CC0429">
        <w:rPr>
          <w:bCs/>
        </w:rPr>
        <w:t xml:space="preserve"> </w:t>
      </w:r>
      <w:r w:rsidR="0026258D" w:rsidRPr="00CC0429">
        <w:rPr>
          <w:bCs/>
        </w:rPr>
        <w:t xml:space="preserve"> ir su darbo santykiais susijusioms valstybinio socialinio draudimo ir sveikatos draudimo įmokoms, išmokoms ir kompensacijoms mokėti), gydytojo-neurologo paslaugoms pirkti, pedagoginės-psichologinės</w:t>
      </w:r>
      <w:r w:rsidR="004E48C5" w:rsidRPr="00CC0429">
        <w:rPr>
          <w:bCs/>
        </w:rPr>
        <w:t xml:space="preserve"> tarnybos funkcijoms, paslaugoms atlikti</w:t>
      </w:r>
      <w:r w:rsidR="00771B74" w:rsidRPr="00CC0429">
        <w:rPr>
          <w:bCs/>
        </w:rPr>
        <w:t xml:space="preserve"> </w:t>
      </w:r>
      <w:r w:rsidR="004E48C5" w:rsidRPr="00CC0429">
        <w:rPr>
          <w:bCs/>
        </w:rPr>
        <w:t>/</w:t>
      </w:r>
      <w:r w:rsidR="00771B74" w:rsidRPr="00CC0429">
        <w:rPr>
          <w:bCs/>
        </w:rPr>
        <w:t xml:space="preserve"> </w:t>
      </w:r>
      <w:r w:rsidR="004E48C5" w:rsidRPr="00CC0429">
        <w:rPr>
          <w:bCs/>
        </w:rPr>
        <w:t>pirkti.</w:t>
      </w:r>
      <w:r w:rsidRPr="00CC0429">
        <w:rPr>
          <w:bCs/>
        </w:rPr>
        <w:t xml:space="preserve"> Lėšos</w:t>
      </w:r>
      <w:r w:rsidR="0026089C" w:rsidRPr="00CC0429">
        <w:rPr>
          <w:bCs/>
        </w:rPr>
        <w:t xml:space="preserve"> mokykloms</w:t>
      </w:r>
      <w:r w:rsidRPr="00CC0429">
        <w:rPr>
          <w:bCs/>
        </w:rPr>
        <w:t xml:space="preserve"> skiriamos atsižvelgiant į bendrą savivaldybei priklausančią lėšų sumą, skirtą švietimo pagalbai ir </w:t>
      </w:r>
      <w:r w:rsidR="002D1546" w:rsidRPr="00CC0429">
        <w:rPr>
          <w:bCs/>
        </w:rPr>
        <w:t>mokyklų patvirtintą pagalbos mokiniui specialistų ir bibliotekos darbuotojų pareigybių skaičių</w:t>
      </w:r>
      <w:r w:rsidR="00623503" w:rsidRPr="00CC0429">
        <w:rPr>
          <w:bCs/>
        </w:rPr>
        <w:t xml:space="preserve">, nustatytą </w:t>
      </w:r>
      <w:r w:rsidR="00CD3948" w:rsidRPr="00CC0429">
        <w:rPr>
          <w:bCs/>
        </w:rPr>
        <w:t xml:space="preserve"> pagal </w:t>
      </w:r>
      <w:r w:rsidR="00771B74" w:rsidRPr="00CC0429">
        <w:rPr>
          <w:bCs/>
        </w:rPr>
        <w:t>š</w:t>
      </w:r>
      <w:r w:rsidR="00623503" w:rsidRPr="00CC0429">
        <w:rPr>
          <w:bCs/>
        </w:rPr>
        <w:t xml:space="preserve">vietimo ir mokslo ministro </w:t>
      </w:r>
      <w:r w:rsidR="00CD3948" w:rsidRPr="00CC0429">
        <w:rPr>
          <w:bCs/>
        </w:rPr>
        <w:t>patvirtintas rekomendacijas.</w:t>
      </w:r>
    </w:p>
    <w:p w:rsidR="004E48C5" w:rsidRPr="00CC0429" w:rsidRDefault="004E48C5" w:rsidP="004F7D5E">
      <w:pPr>
        <w:tabs>
          <w:tab w:val="left" w:pos="0"/>
          <w:tab w:val="left" w:pos="284"/>
        </w:tabs>
        <w:ind w:firstLine="567"/>
        <w:jc w:val="both"/>
        <w:rPr>
          <w:bCs/>
        </w:rPr>
      </w:pPr>
      <w:r w:rsidRPr="00CC0429">
        <w:rPr>
          <w:bCs/>
        </w:rPr>
        <w:t>Jei mokykla neturi švietimo pagalbos specialistų, tokiai mokyklai švietimo pagalbai skirtos lėšos gali būti skiriamos psichologinės, socialinės pedagoginės, specialiosios pedagoginės pagalbos paslaugoms pirkti.</w:t>
      </w:r>
    </w:p>
    <w:p w:rsidR="004E48C5" w:rsidRPr="00CC0429" w:rsidRDefault="004E48C5" w:rsidP="004F7D5E">
      <w:pPr>
        <w:tabs>
          <w:tab w:val="left" w:pos="0"/>
          <w:tab w:val="left" w:pos="284"/>
        </w:tabs>
        <w:ind w:firstLine="567"/>
        <w:jc w:val="both"/>
        <w:rPr>
          <w:bCs/>
        </w:rPr>
      </w:pPr>
      <w:r w:rsidRPr="00CC0429">
        <w:rPr>
          <w:bCs/>
        </w:rPr>
        <w:t>Jeigu lėšos švietimo pagalbai mokyklai neskiriamos, tai jos skiriamos pedagoginei-psichologinei tarnybai psichologinei, socialinei pedagoginei, specialiajai pedagoginei pagalbai teikti.</w:t>
      </w:r>
    </w:p>
    <w:p w:rsidR="00372CC2" w:rsidRPr="00CC0429" w:rsidRDefault="00623503" w:rsidP="004F7D5E">
      <w:pPr>
        <w:tabs>
          <w:tab w:val="left" w:pos="0"/>
          <w:tab w:val="left" w:pos="284"/>
        </w:tabs>
        <w:ind w:firstLine="567"/>
        <w:jc w:val="both"/>
        <w:rPr>
          <w:bCs/>
        </w:rPr>
      </w:pPr>
      <w:r w:rsidRPr="00CC0429">
        <w:rPr>
          <w:bCs/>
        </w:rPr>
        <w:t xml:space="preserve">Kai nepakanka </w:t>
      </w:r>
      <w:r w:rsidR="00E8770C" w:rsidRPr="00CC0429">
        <w:rPr>
          <w:bCs/>
        </w:rPr>
        <w:t>švietimo pagalbai savivaldybei skiriamų valstybės biudžeto lėšų, kad būtų  užtikrintas pagalbos prieinamumas kiekvienam švietimo pagalbos nariui, kuriam jos reikia, savivaldybė</w:t>
      </w:r>
      <w:r w:rsidR="0016785C" w:rsidRPr="00CC0429">
        <w:rPr>
          <w:bCs/>
        </w:rPr>
        <w:t xml:space="preserve"> pagal finansines galimybes</w:t>
      </w:r>
      <w:r w:rsidR="00E8770C" w:rsidRPr="00CC0429">
        <w:rPr>
          <w:bCs/>
        </w:rPr>
        <w:t xml:space="preserve"> skiria dalį lėšų iš savo  biudžeto, kadangi š</w:t>
      </w:r>
      <w:r w:rsidRPr="00CC0429">
        <w:rPr>
          <w:bCs/>
        </w:rPr>
        <w:t xml:space="preserve">vietimo pagalbos teikimas mokiniui, mokytojui, šeimai, mokyklai yra savivaldybės </w:t>
      </w:r>
      <w:proofErr w:type="spellStart"/>
      <w:r w:rsidRPr="00CC0429">
        <w:rPr>
          <w:bCs/>
        </w:rPr>
        <w:t>savarankiškoji</w:t>
      </w:r>
      <w:proofErr w:type="spellEnd"/>
      <w:r w:rsidRPr="00CC0429">
        <w:rPr>
          <w:bCs/>
        </w:rPr>
        <w:t xml:space="preserve"> funkcija</w:t>
      </w:r>
      <w:r w:rsidR="00E8770C" w:rsidRPr="00CC0429">
        <w:rPr>
          <w:bCs/>
        </w:rPr>
        <w:t>.</w:t>
      </w:r>
    </w:p>
    <w:p w:rsidR="009C5C57" w:rsidRPr="00CC0429" w:rsidRDefault="006C4208" w:rsidP="001F017B">
      <w:pPr>
        <w:tabs>
          <w:tab w:val="left" w:pos="0"/>
          <w:tab w:val="left" w:pos="284"/>
        </w:tabs>
        <w:ind w:firstLine="567"/>
        <w:rPr>
          <w:bCs/>
        </w:rPr>
      </w:pPr>
      <w:r w:rsidRPr="00CC0429">
        <w:rPr>
          <w:bCs/>
        </w:rPr>
        <w:t xml:space="preserve">7. </w:t>
      </w:r>
      <w:r w:rsidR="001C7D8A" w:rsidRPr="00CC0429">
        <w:rPr>
          <w:bCs/>
        </w:rPr>
        <w:t>Tvarkos aprašo 4.3 papunktyje nurodytoms ugdymo reikmėms tenkinti</w:t>
      </w:r>
      <w:r w:rsidR="0009265D" w:rsidRPr="00CC0429">
        <w:rPr>
          <w:bCs/>
        </w:rPr>
        <w:t xml:space="preserve"> </w:t>
      </w:r>
      <w:r w:rsidR="00771B74" w:rsidRPr="00CC0429">
        <w:rPr>
          <w:bCs/>
        </w:rPr>
        <w:t xml:space="preserve">– </w:t>
      </w:r>
      <w:r w:rsidR="0009265D" w:rsidRPr="00CC0429">
        <w:rPr>
          <w:bCs/>
        </w:rPr>
        <w:t>mokymosi pasiekimų patikrinimams organizuoti ir vykdyti</w:t>
      </w:r>
      <w:r w:rsidR="002D16C7" w:rsidRPr="00CC0429">
        <w:rPr>
          <w:bCs/>
        </w:rPr>
        <w:t xml:space="preserve">, </w:t>
      </w:r>
      <w:r w:rsidR="001C7D8A" w:rsidRPr="00CC0429">
        <w:rPr>
          <w:bCs/>
        </w:rPr>
        <w:t xml:space="preserve"> </w:t>
      </w:r>
      <w:r w:rsidR="009C5C57" w:rsidRPr="00CC0429">
        <w:rPr>
          <w:bCs/>
        </w:rPr>
        <w:t>tvirtinant savivaldybės biudžetą</w:t>
      </w:r>
      <w:r w:rsidR="00771B74" w:rsidRPr="00CC0429">
        <w:rPr>
          <w:bCs/>
        </w:rPr>
        <w:t>,</w:t>
      </w:r>
      <w:r w:rsidR="009C5C57" w:rsidRPr="00CC0429">
        <w:rPr>
          <w:bCs/>
        </w:rPr>
        <w:t xml:space="preserve"> </w:t>
      </w:r>
      <w:r w:rsidR="001C7D8A" w:rsidRPr="00CC0429">
        <w:rPr>
          <w:bCs/>
        </w:rPr>
        <w:t>lėšos skiriamos</w:t>
      </w:r>
      <w:r w:rsidR="00697BEC" w:rsidRPr="00CC0429">
        <w:rPr>
          <w:bCs/>
        </w:rPr>
        <w:t xml:space="preserve"> </w:t>
      </w:r>
      <w:r w:rsidR="00771B74" w:rsidRPr="00CC0429">
        <w:rPr>
          <w:bCs/>
        </w:rPr>
        <w:t>s</w:t>
      </w:r>
      <w:r w:rsidR="00697BEC" w:rsidRPr="00CC0429">
        <w:rPr>
          <w:bCs/>
        </w:rPr>
        <w:t xml:space="preserve">avivaldybės administracijos </w:t>
      </w:r>
      <w:r w:rsidR="00771B74" w:rsidRPr="00CC0429">
        <w:rPr>
          <w:bCs/>
        </w:rPr>
        <w:t>Š</w:t>
      </w:r>
      <w:r w:rsidR="009C5C57" w:rsidRPr="00CC0429">
        <w:rPr>
          <w:bCs/>
        </w:rPr>
        <w:t xml:space="preserve">vietimo skyriui. Pasibaigus mokymosi pasiekimų patikrinimams, </w:t>
      </w:r>
      <w:r w:rsidR="00771B74" w:rsidRPr="00CC0429">
        <w:rPr>
          <w:bCs/>
        </w:rPr>
        <w:t>s</w:t>
      </w:r>
      <w:r w:rsidR="009C5C57" w:rsidRPr="00CC0429">
        <w:rPr>
          <w:bCs/>
        </w:rPr>
        <w:t xml:space="preserve">avivaldybės administracija, vadovaudamasi bendrąjį ugdymą teikiančių mokyklų, kuriose vyko pasiekimų patikrinimas, pateiktais duomenimis, teikia </w:t>
      </w:r>
      <w:r w:rsidR="00771B74" w:rsidRPr="00CC0429">
        <w:rPr>
          <w:bCs/>
        </w:rPr>
        <w:t>s</w:t>
      </w:r>
      <w:r w:rsidR="009C5C57" w:rsidRPr="00CC0429">
        <w:rPr>
          <w:bCs/>
        </w:rPr>
        <w:t>avivaldybės tarybai tvirtinti mokymo lėšų paskirstymą bendrąjį ugdymą teikiančioms mokykloms. Mokymo lėšos apskaičiuojamos ir  skiriamos mokykloms vadovaujantis Lietuvos Respublikos švietimo ir mokslo ministerijos priimtais teisės aktais.</w:t>
      </w:r>
    </w:p>
    <w:p w:rsidR="00697BEC" w:rsidRPr="00CC0429" w:rsidRDefault="00697BEC" w:rsidP="00697BEC">
      <w:pPr>
        <w:suppressLineNumbers/>
        <w:jc w:val="both"/>
      </w:pPr>
      <w:r w:rsidRPr="00CC0429">
        <w:rPr>
          <w:bCs/>
        </w:rPr>
        <w:t xml:space="preserve">        </w:t>
      </w:r>
      <w:r w:rsidR="009C5C57" w:rsidRPr="00CC0429">
        <w:rPr>
          <w:bCs/>
        </w:rPr>
        <w:t>8.</w:t>
      </w:r>
      <w:r w:rsidRPr="00CC0429">
        <w:rPr>
          <w:bCs/>
        </w:rPr>
        <w:t xml:space="preserve"> </w:t>
      </w:r>
      <w:r w:rsidR="009C5C57" w:rsidRPr="00CC0429">
        <w:rPr>
          <w:bCs/>
        </w:rPr>
        <w:t>Tvarkos aprašo 4.4 papunktyje nurodytoms ugdymo reikmėms tenkinti</w:t>
      </w:r>
      <w:r w:rsidR="005B736C" w:rsidRPr="00CC0429">
        <w:rPr>
          <w:bCs/>
        </w:rPr>
        <w:t xml:space="preserve"> </w:t>
      </w:r>
      <w:r w:rsidRPr="00CC0429">
        <w:rPr>
          <w:bCs/>
        </w:rPr>
        <w:t xml:space="preserve">lėšos </w:t>
      </w:r>
      <w:r w:rsidR="005B736C" w:rsidRPr="00CC0429">
        <w:rPr>
          <w:bCs/>
        </w:rPr>
        <w:t xml:space="preserve">skiriamos </w:t>
      </w:r>
      <w:r w:rsidR="001F017B" w:rsidRPr="00CC0429">
        <w:t>vadovaujantis patvirtintu Formalųjį švietimą papildančių ugdymo programų konkurso tvarkos aprašu. Lėšos, skirtos formalųjį švietimą papildančio ugdymo programoms finansuoti naudojamos pedagogų darbo užmokesčiui  ir teisės aktų nustatytoms privalomoms su pedagoginių ir kitų ugdymo procese dalyvaujančių darbuotojų darbo santykiais susijusioms valstybinio socialinio draudimo, sveikatos draudimo įmokoms</w:t>
      </w:r>
      <w:r w:rsidR="00D0244A" w:rsidRPr="00CC0429">
        <w:t>.</w:t>
      </w:r>
      <w:r w:rsidRPr="00CC0429">
        <w:t xml:space="preserve"> Nesant galimybių</w:t>
      </w:r>
      <w:r w:rsidR="00771B74" w:rsidRPr="00CC0429">
        <w:t>,</w:t>
      </w:r>
      <w:r w:rsidRPr="00CC0429">
        <w:t xml:space="preserve"> tvirtinant atitinkamų metų savivaldybės biudžetą</w:t>
      </w:r>
      <w:r w:rsidR="00771B74" w:rsidRPr="00CC0429">
        <w:t>,</w:t>
      </w:r>
      <w:r w:rsidRPr="00CC0429">
        <w:t xml:space="preserve"> skirti lėšas neformaliojo švietimo įstaigoms, šių asignavimų valdytoju paskiriamas </w:t>
      </w:r>
      <w:r w:rsidR="00771B74" w:rsidRPr="00CC0429">
        <w:t>s</w:t>
      </w:r>
      <w:r w:rsidRPr="00CC0429">
        <w:t xml:space="preserve">avivaldybės administracijos </w:t>
      </w:r>
      <w:r w:rsidR="00771B74" w:rsidRPr="00CC0429">
        <w:t>Š</w:t>
      </w:r>
      <w:r w:rsidRPr="00CC0429">
        <w:t>vietimo skyrius. Įvertinus pateiktas programas, lėšos perskirstomos neformaliojo švietimo įstaigoms.</w:t>
      </w:r>
    </w:p>
    <w:p w:rsidR="004F7D5E" w:rsidRPr="00CC0429" w:rsidRDefault="001D0CF9" w:rsidP="004F7D5E">
      <w:pPr>
        <w:tabs>
          <w:tab w:val="left" w:pos="284"/>
          <w:tab w:val="left" w:pos="993"/>
        </w:tabs>
        <w:ind w:firstLine="567"/>
        <w:jc w:val="both"/>
        <w:rPr>
          <w:bCs/>
        </w:rPr>
      </w:pPr>
      <w:r w:rsidRPr="00CC0429">
        <w:rPr>
          <w:bCs/>
        </w:rPr>
        <w:lastRenderedPageBreak/>
        <w:t>9</w:t>
      </w:r>
      <w:r w:rsidR="004F7D5E" w:rsidRPr="00CC0429">
        <w:rPr>
          <w:bCs/>
        </w:rPr>
        <w:t xml:space="preserve">. Lėšos ugdymo finansavimo poreikių skirtumams tarp mokyklų sumažinti, sudaro 2 procentus, apskaičiuotus nuo lėšų ugdymo planui (ugdomajai veiklai) įgyvendinti sumos. </w:t>
      </w:r>
      <w:r w:rsidR="00817A50" w:rsidRPr="00CC0429">
        <w:rPr>
          <w:bCs/>
        </w:rPr>
        <w:t>Visos</w:t>
      </w:r>
      <w:r w:rsidR="004F7D5E" w:rsidRPr="00CC0429">
        <w:rPr>
          <w:bCs/>
        </w:rPr>
        <w:t xml:space="preserve"> lėšos </w:t>
      </w:r>
      <w:r w:rsidR="00817A50" w:rsidRPr="00CC0429">
        <w:rPr>
          <w:bCs/>
        </w:rPr>
        <w:t>paskirstomos ikimokyklinį, priešmokyklinį ir bendrąjį ugdymą vykdančioms mokykloms</w:t>
      </w:r>
      <w:r w:rsidR="004F7D5E" w:rsidRPr="00CC0429">
        <w:rPr>
          <w:bCs/>
        </w:rPr>
        <w:t xml:space="preserve"> šioms ugdymo reikmėms tenkinti:</w:t>
      </w:r>
    </w:p>
    <w:p w:rsidR="004F7D5E" w:rsidRPr="00CC0429" w:rsidRDefault="00817A50" w:rsidP="004F7D5E">
      <w:pPr>
        <w:tabs>
          <w:tab w:val="left" w:pos="142"/>
          <w:tab w:val="left" w:pos="284"/>
          <w:tab w:val="left" w:pos="993"/>
        </w:tabs>
        <w:ind w:firstLine="567"/>
        <w:jc w:val="both"/>
        <w:rPr>
          <w:bCs/>
        </w:rPr>
      </w:pPr>
      <w:r w:rsidRPr="00CC0429">
        <w:rPr>
          <w:bCs/>
        </w:rPr>
        <w:t>9</w:t>
      </w:r>
      <w:r w:rsidR="004F7D5E" w:rsidRPr="00CC0429">
        <w:rPr>
          <w:bCs/>
        </w:rPr>
        <w:t>.1. pedagoginių darbuotojų pareiginės algos pastoviosios dalies koeficientų skirtumams mokyklose išlyginti (įskaitant pareiginės algos pastoviosios dalies koeficientų padidinimą dėl veiklos sudėtingumo), ikimokyklinio, priešmokyklinio ir bendrojo ugdymo prieinamumui užtikrinti (tarp jų ir mokyti namuose</w:t>
      </w:r>
      <w:r w:rsidRPr="00CC0429">
        <w:rPr>
          <w:bCs/>
        </w:rPr>
        <w:t>, kai toks mokymas paskiriamas po rugsėjo 1 d.</w:t>
      </w:r>
      <w:r w:rsidR="004F7D5E" w:rsidRPr="00CC0429">
        <w:rPr>
          <w:bCs/>
        </w:rPr>
        <w:t>), ikimokyklinio ir priešmokyklinio ugdymo formų įvairovei diegti;</w:t>
      </w:r>
    </w:p>
    <w:p w:rsidR="004F7D5E" w:rsidRPr="00CC0429" w:rsidRDefault="00817A50" w:rsidP="004F7D5E">
      <w:pPr>
        <w:tabs>
          <w:tab w:val="left" w:pos="284"/>
          <w:tab w:val="left" w:pos="993"/>
        </w:tabs>
        <w:ind w:firstLine="567"/>
        <w:jc w:val="both"/>
        <w:rPr>
          <w:bCs/>
        </w:rPr>
      </w:pPr>
      <w:r w:rsidRPr="00CC0429">
        <w:rPr>
          <w:bCs/>
        </w:rPr>
        <w:t>9</w:t>
      </w:r>
      <w:r w:rsidR="004F7D5E" w:rsidRPr="00CC0429">
        <w:rPr>
          <w:bCs/>
        </w:rPr>
        <w:t xml:space="preserve">.2. </w:t>
      </w:r>
      <w:r w:rsidR="004F7D5E" w:rsidRPr="00CC0429">
        <w:rPr>
          <w:bCs/>
        </w:rPr>
        <w:tab/>
        <w:t xml:space="preserve"> finansuoti užsienio kalbų mokymuisi laikinosiose grupėse, mažesnėse už numatytąsias švietimo ir mokslo ministro tvirtinamuose pradinio, pagrindinio ir vidurinio ugdymo programų bendruosiuose ugdymo planuose;</w:t>
      </w:r>
    </w:p>
    <w:p w:rsidR="004F7D5E" w:rsidRPr="00CC0429" w:rsidRDefault="00817A50" w:rsidP="004F7D5E">
      <w:pPr>
        <w:tabs>
          <w:tab w:val="left" w:pos="284"/>
          <w:tab w:val="left" w:pos="993"/>
        </w:tabs>
        <w:ind w:firstLine="567"/>
        <w:jc w:val="both"/>
        <w:rPr>
          <w:bCs/>
        </w:rPr>
      </w:pPr>
      <w:r w:rsidRPr="00CC0429">
        <w:rPr>
          <w:bCs/>
        </w:rPr>
        <w:t>9</w:t>
      </w:r>
      <w:r w:rsidR="004F7D5E" w:rsidRPr="00CC0429">
        <w:rPr>
          <w:bCs/>
        </w:rPr>
        <w:t>.3. finansuoti priemonėms, skirtoms mokinių iš nepalankios socialinės, ekonominės ir kultūrinės aplinko</w:t>
      </w:r>
      <w:r w:rsidR="002D587C" w:rsidRPr="00CC0429">
        <w:rPr>
          <w:bCs/>
        </w:rPr>
        <w:t>s mokymosi skirtumams sumažinti, švietimo pagalbai mokyklose;</w:t>
      </w:r>
    </w:p>
    <w:p w:rsidR="004F7D5E" w:rsidRPr="00CC0429" w:rsidRDefault="007E113F" w:rsidP="004F7D5E">
      <w:pPr>
        <w:tabs>
          <w:tab w:val="left" w:pos="284"/>
          <w:tab w:val="left" w:pos="993"/>
        </w:tabs>
        <w:ind w:firstLine="567"/>
        <w:jc w:val="both"/>
        <w:rPr>
          <w:bCs/>
        </w:rPr>
      </w:pPr>
      <w:r w:rsidRPr="00CC0429">
        <w:rPr>
          <w:bCs/>
        </w:rPr>
        <w:t>10</w:t>
      </w:r>
      <w:r w:rsidR="004F7D5E" w:rsidRPr="00CC0429">
        <w:rPr>
          <w:bCs/>
        </w:rPr>
        <w:t xml:space="preserve">. </w:t>
      </w:r>
      <w:r w:rsidR="00102258" w:rsidRPr="00CC0429">
        <w:rPr>
          <w:bCs/>
        </w:rPr>
        <w:t xml:space="preserve">Dėl Tvarkos aprašo 4 ir </w:t>
      </w:r>
      <w:r w:rsidR="001D0CF9" w:rsidRPr="00CC0429">
        <w:rPr>
          <w:bCs/>
        </w:rPr>
        <w:t>9</w:t>
      </w:r>
      <w:r w:rsidR="00102258" w:rsidRPr="00CC0429">
        <w:rPr>
          <w:bCs/>
        </w:rPr>
        <w:t xml:space="preserve"> punktuose</w:t>
      </w:r>
      <w:r w:rsidR="004F7D5E" w:rsidRPr="00CC0429">
        <w:rPr>
          <w:bCs/>
        </w:rPr>
        <w:t xml:space="preserve"> nurodyt</w:t>
      </w:r>
      <w:r w:rsidR="00102258" w:rsidRPr="00CC0429">
        <w:rPr>
          <w:bCs/>
        </w:rPr>
        <w:t>ų</w:t>
      </w:r>
      <w:r w:rsidR="004F7D5E" w:rsidRPr="00CC0429">
        <w:rPr>
          <w:bCs/>
        </w:rPr>
        <w:t xml:space="preserve"> mokymo reikmėms tenkinti skirt</w:t>
      </w:r>
      <w:r w:rsidR="00102258" w:rsidRPr="00CC0429">
        <w:rPr>
          <w:bCs/>
        </w:rPr>
        <w:t>ų</w:t>
      </w:r>
      <w:r w:rsidR="004F7D5E" w:rsidRPr="00CC0429">
        <w:rPr>
          <w:bCs/>
        </w:rPr>
        <w:t xml:space="preserve"> mokymo lėš</w:t>
      </w:r>
      <w:r w:rsidR="00102258" w:rsidRPr="00CC0429">
        <w:rPr>
          <w:bCs/>
        </w:rPr>
        <w:t>ų</w:t>
      </w:r>
      <w:r w:rsidR="004F7D5E" w:rsidRPr="00CC0429">
        <w:rPr>
          <w:bCs/>
        </w:rPr>
        <w:t xml:space="preserve"> paskirst</w:t>
      </w:r>
      <w:r w:rsidR="00102258" w:rsidRPr="00CC0429">
        <w:rPr>
          <w:bCs/>
        </w:rPr>
        <w:t>ymo</w:t>
      </w:r>
      <w:r w:rsidR="004F7D5E" w:rsidRPr="00CC0429">
        <w:rPr>
          <w:bCs/>
        </w:rPr>
        <w:t xml:space="preserve"> </w:t>
      </w:r>
      <w:r w:rsidR="00102258" w:rsidRPr="00CC0429">
        <w:rPr>
          <w:bCs/>
        </w:rPr>
        <w:t>siūlymą teikia Rokiškio</w:t>
      </w:r>
      <w:r w:rsidR="004F7D5E" w:rsidRPr="00CC0429">
        <w:rPr>
          <w:bCs/>
        </w:rPr>
        <w:t xml:space="preserve"> rajono savivaldybės administracijos direktoriaus įsakymu sudaryta darbo grupė.</w:t>
      </w:r>
      <w:r w:rsidR="00306274" w:rsidRPr="00CC0429">
        <w:rPr>
          <w:bCs/>
        </w:rPr>
        <w:t xml:space="preserve"> </w:t>
      </w:r>
      <w:r w:rsidR="002D587C" w:rsidRPr="00CC0429">
        <w:rPr>
          <w:bCs/>
        </w:rPr>
        <w:t>Savivaldybės tarybos skirtos lėšos</w:t>
      </w:r>
      <w:r w:rsidR="00306274" w:rsidRPr="00CC0429">
        <w:rPr>
          <w:bCs/>
        </w:rPr>
        <w:t xml:space="preserve"> pagal Tvarkos aprašo 4.1, 4.2, 5 ir 6 punktus mokykloms</w:t>
      </w:r>
      <w:r w:rsidR="002D587C" w:rsidRPr="00CC0429">
        <w:rPr>
          <w:bCs/>
        </w:rPr>
        <w:t xml:space="preserve"> detalizuojamos</w:t>
      </w:r>
      <w:r w:rsidR="00306274" w:rsidRPr="00CC0429">
        <w:rPr>
          <w:bCs/>
        </w:rPr>
        <w:t xml:space="preserve"> savivaldybės administracijos direktoriaus įsakymu.</w:t>
      </w:r>
    </w:p>
    <w:p w:rsidR="004F7D5E" w:rsidRPr="00CC0429" w:rsidRDefault="007E113F" w:rsidP="004F7D5E">
      <w:pPr>
        <w:tabs>
          <w:tab w:val="left" w:pos="284"/>
          <w:tab w:val="left" w:pos="993"/>
        </w:tabs>
        <w:ind w:firstLine="567"/>
        <w:jc w:val="both"/>
        <w:rPr>
          <w:bCs/>
        </w:rPr>
      </w:pPr>
      <w:r w:rsidRPr="00CC0429">
        <w:rPr>
          <w:bCs/>
        </w:rPr>
        <w:t>11</w:t>
      </w:r>
      <w:r w:rsidR="004F7D5E" w:rsidRPr="00CC0429">
        <w:rPr>
          <w:bCs/>
        </w:rPr>
        <w:t xml:space="preserve">. Tvarkos aprašo 4.2 ir 4.4  papunkčiuose nurodytoms ugdymo reikmėms tenkinti </w:t>
      </w:r>
      <w:r w:rsidR="0054750C" w:rsidRPr="00CC0429">
        <w:rPr>
          <w:bCs/>
        </w:rPr>
        <w:t xml:space="preserve"> apskaičiuotos lėšos</w:t>
      </w:r>
      <w:r w:rsidR="004F7D5E" w:rsidRPr="00CC0429">
        <w:rPr>
          <w:bCs/>
        </w:rPr>
        <w:t xml:space="preserve"> pagal Aprašo 1 priede nurodytus  atitinkamų ugdymo reikmių </w:t>
      </w:r>
      <w:r w:rsidR="001D0CF9" w:rsidRPr="00CC0429">
        <w:rPr>
          <w:bCs/>
        </w:rPr>
        <w:t>koeficientus</w:t>
      </w:r>
      <w:r w:rsidR="004F7D5E" w:rsidRPr="00CC0429">
        <w:rPr>
          <w:bCs/>
        </w:rPr>
        <w:t>,</w:t>
      </w:r>
      <w:r w:rsidR="0054750C" w:rsidRPr="00CC0429">
        <w:rPr>
          <w:bCs/>
        </w:rPr>
        <w:t xml:space="preserve"> paskirstomos ne mažiau 100 proc., </w:t>
      </w:r>
      <w:r w:rsidR="004F7D5E" w:rsidRPr="00CC0429">
        <w:rPr>
          <w:bCs/>
        </w:rPr>
        <w:t xml:space="preserve"> o 4.1 ir 4.3 papunkčiuose nurodytoms mokymo reikmėms tenkin</w:t>
      </w:r>
      <w:r w:rsidR="001D0CF9" w:rsidRPr="00CC0429">
        <w:rPr>
          <w:bCs/>
        </w:rPr>
        <w:t>ti skiriama lėšų  pagal poreikį arba finansines galimybes.</w:t>
      </w:r>
    </w:p>
    <w:p w:rsidR="007E113F" w:rsidRPr="00CC0429" w:rsidRDefault="007E113F" w:rsidP="004F7D5E">
      <w:pPr>
        <w:tabs>
          <w:tab w:val="left" w:pos="284"/>
          <w:tab w:val="left" w:pos="993"/>
        </w:tabs>
        <w:ind w:left="1080" w:hanging="720"/>
        <w:jc w:val="center"/>
        <w:rPr>
          <w:b/>
          <w:bCs/>
        </w:rPr>
      </w:pPr>
    </w:p>
    <w:p w:rsidR="004F7D5E" w:rsidRPr="00CC0429" w:rsidRDefault="004F7D5E" w:rsidP="004F7D5E">
      <w:pPr>
        <w:tabs>
          <w:tab w:val="left" w:pos="284"/>
          <w:tab w:val="left" w:pos="993"/>
        </w:tabs>
        <w:ind w:left="1080" w:hanging="720"/>
        <w:jc w:val="center"/>
        <w:rPr>
          <w:b/>
          <w:bCs/>
        </w:rPr>
      </w:pPr>
      <w:r w:rsidRPr="00CC0429">
        <w:rPr>
          <w:b/>
          <w:bCs/>
        </w:rPr>
        <w:t>III.</w:t>
      </w:r>
      <w:r w:rsidRPr="00CC0429">
        <w:rPr>
          <w:b/>
          <w:bCs/>
        </w:rPr>
        <w:tab/>
        <w:t xml:space="preserve">SPECIALIOS TIKSLINĖS DOTACIJOS MOKYMO LĖŠŲ, SKIRTŲ UGDYMO REIKMĖMS </w:t>
      </w:r>
      <w:r w:rsidRPr="00CC0429">
        <w:rPr>
          <w:b/>
        </w:rPr>
        <w:t>TENKINTI</w:t>
      </w:r>
      <w:r w:rsidRPr="00CC0429">
        <w:rPr>
          <w:b/>
          <w:bCs/>
        </w:rPr>
        <w:t>, PERSKIRSTYMAS</w:t>
      </w:r>
    </w:p>
    <w:p w:rsidR="004F7D5E" w:rsidRPr="00CC0429" w:rsidRDefault="004F7D5E" w:rsidP="004F7D5E">
      <w:pPr>
        <w:tabs>
          <w:tab w:val="left" w:pos="284"/>
          <w:tab w:val="left" w:pos="993"/>
        </w:tabs>
        <w:jc w:val="center"/>
        <w:rPr>
          <w:b/>
          <w:bCs/>
        </w:rPr>
      </w:pPr>
    </w:p>
    <w:p w:rsidR="004F7D5E" w:rsidRPr="00CC0429" w:rsidRDefault="004F7D5E" w:rsidP="004F7D5E">
      <w:pPr>
        <w:tabs>
          <w:tab w:val="left" w:pos="284"/>
          <w:tab w:val="left" w:pos="993"/>
        </w:tabs>
        <w:ind w:firstLine="567"/>
        <w:jc w:val="both"/>
        <w:rPr>
          <w:bCs/>
        </w:rPr>
      </w:pPr>
      <w:r w:rsidRPr="00CC0429">
        <w:rPr>
          <w:bCs/>
        </w:rPr>
        <w:t xml:space="preserve">12. Lietuvos Respublikos švietimo ir mokslo ministerijos perskirstyta (atsižvelgiant į pasikeitusį mokinių skaičių einamųjų metų rugsėjo 1 d.) speciali tikslinė dotacija, skirta ugdymo reikmėms tenkinti nuo rugsėjo 1 d. iki einamųjų metų pabaigos (jeigu tokia galimybė numatyta atitinkamų metų Lietuvos Respublikos valstybės biudžeto ir savivaldybių biudžetų finansinių rodiklių patvirtinimo įstatyme), einamųjų metų ketvirtą ketvirtį perskirstoma savivaldybės mokykloms pagal šiuos kriterijus: </w:t>
      </w:r>
    </w:p>
    <w:p w:rsidR="004F7D5E" w:rsidRPr="00CC0429" w:rsidRDefault="004F7D5E" w:rsidP="004F7D5E">
      <w:pPr>
        <w:tabs>
          <w:tab w:val="left" w:pos="284"/>
          <w:tab w:val="left" w:pos="851"/>
          <w:tab w:val="left" w:pos="1134"/>
        </w:tabs>
        <w:ind w:left="927" w:hanging="360"/>
        <w:jc w:val="both"/>
        <w:rPr>
          <w:bCs/>
        </w:rPr>
      </w:pPr>
      <w:r w:rsidRPr="00CC0429">
        <w:rPr>
          <w:bCs/>
        </w:rPr>
        <w:t>12.1. pasikeitusį mokinių skaičių einamųjų metų rugsėjo 1 d.;</w:t>
      </w:r>
    </w:p>
    <w:p w:rsidR="004F7D5E" w:rsidRPr="00CC0429" w:rsidRDefault="004F7D5E" w:rsidP="004F7D5E">
      <w:pPr>
        <w:tabs>
          <w:tab w:val="left" w:pos="284"/>
          <w:tab w:val="left" w:pos="993"/>
          <w:tab w:val="left" w:pos="1134"/>
        </w:tabs>
        <w:ind w:left="927" w:hanging="360"/>
        <w:jc w:val="both"/>
        <w:rPr>
          <w:bCs/>
        </w:rPr>
      </w:pPr>
      <w:r w:rsidRPr="00CC0429">
        <w:rPr>
          <w:bCs/>
        </w:rPr>
        <w:t xml:space="preserve">12.2. </w:t>
      </w:r>
      <w:r w:rsidR="002D587C" w:rsidRPr="00CC0429">
        <w:rPr>
          <w:bCs/>
        </w:rPr>
        <w:t xml:space="preserve">sąlyginį </w:t>
      </w:r>
      <w:r w:rsidRPr="00CC0429">
        <w:rPr>
          <w:bCs/>
        </w:rPr>
        <w:t>klasių komplektų skaičių einamųjų metų rugsėjo 1 d.;</w:t>
      </w:r>
    </w:p>
    <w:p w:rsidR="004F7D5E" w:rsidRPr="00CC0429" w:rsidRDefault="004F7D5E" w:rsidP="004F7D5E">
      <w:pPr>
        <w:tabs>
          <w:tab w:val="left" w:pos="284"/>
          <w:tab w:val="left" w:pos="993"/>
          <w:tab w:val="left" w:pos="1134"/>
        </w:tabs>
        <w:ind w:left="927" w:hanging="360"/>
        <w:jc w:val="both"/>
        <w:rPr>
          <w:bCs/>
        </w:rPr>
      </w:pPr>
      <w:r w:rsidRPr="00CC0429">
        <w:rPr>
          <w:bCs/>
        </w:rPr>
        <w:t>12.3. faktiškai užimtus etatus einamųjų metų rugsėjo 1 d;</w:t>
      </w:r>
    </w:p>
    <w:p w:rsidR="004F7D5E" w:rsidRPr="00CC0429" w:rsidRDefault="004F7D5E" w:rsidP="004F7D5E">
      <w:pPr>
        <w:tabs>
          <w:tab w:val="left" w:pos="284"/>
          <w:tab w:val="left" w:pos="993"/>
          <w:tab w:val="left" w:pos="1134"/>
        </w:tabs>
        <w:ind w:left="927" w:hanging="360"/>
        <w:jc w:val="both"/>
        <w:rPr>
          <w:bCs/>
        </w:rPr>
      </w:pPr>
      <w:r w:rsidRPr="00CC0429">
        <w:rPr>
          <w:bCs/>
        </w:rPr>
        <w:t>12.4. išmokėtas išmokas (pedagoginiams darbuotojams), susijusias su darbo santykiais.</w:t>
      </w:r>
    </w:p>
    <w:p w:rsidR="007E113F" w:rsidRPr="00CC0429" w:rsidRDefault="007E113F" w:rsidP="004F7D5E">
      <w:pPr>
        <w:tabs>
          <w:tab w:val="left" w:pos="284"/>
          <w:tab w:val="left" w:pos="993"/>
          <w:tab w:val="left" w:pos="1134"/>
        </w:tabs>
        <w:ind w:left="927" w:hanging="360"/>
        <w:jc w:val="both"/>
        <w:rPr>
          <w:bCs/>
        </w:rPr>
      </w:pPr>
    </w:p>
    <w:p w:rsidR="007E113F" w:rsidRPr="00CC0429" w:rsidRDefault="007E113F" w:rsidP="00771B74">
      <w:pPr>
        <w:tabs>
          <w:tab w:val="left" w:pos="284"/>
          <w:tab w:val="left" w:pos="993"/>
          <w:tab w:val="left" w:pos="1134"/>
        </w:tabs>
        <w:ind w:left="927" w:hanging="360"/>
        <w:jc w:val="center"/>
        <w:rPr>
          <w:b/>
          <w:bCs/>
        </w:rPr>
      </w:pPr>
      <w:r w:rsidRPr="00CC0429">
        <w:rPr>
          <w:b/>
          <w:bCs/>
        </w:rPr>
        <w:t xml:space="preserve">IV. </w:t>
      </w:r>
      <w:r w:rsidR="00085F5D" w:rsidRPr="00CC0429">
        <w:rPr>
          <w:b/>
          <w:bCs/>
        </w:rPr>
        <w:t>BAIGIAMOSIOS NUOSTATOS</w:t>
      </w:r>
    </w:p>
    <w:p w:rsidR="006C1BD0" w:rsidRPr="00CC0429" w:rsidRDefault="006C1BD0" w:rsidP="004F7D5E">
      <w:pPr>
        <w:tabs>
          <w:tab w:val="left" w:pos="284"/>
          <w:tab w:val="left" w:pos="993"/>
          <w:tab w:val="left" w:pos="1134"/>
        </w:tabs>
        <w:ind w:left="927" w:hanging="360"/>
        <w:jc w:val="both"/>
        <w:rPr>
          <w:b/>
          <w:bCs/>
        </w:rPr>
      </w:pPr>
    </w:p>
    <w:p w:rsidR="00FB5099" w:rsidRPr="00CC0429" w:rsidRDefault="00FB5099" w:rsidP="00FB5099">
      <w:pPr>
        <w:tabs>
          <w:tab w:val="left" w:pos="0"/>
          <w:tab w:val="left" w:pos="284"/>
        </w:tabs>
        <w:ind w:hanging="360"/>
        <w:jc w:val="both"/>
        <w:rPr>
          <w:bCs/>
        </w:rPr>
      </w:pPr>
      <w:r w:rsidRPr="00CC0429">
        <w:rPr>
          <w:bCs/>
        </w:rPr>
        <w:tab/>
      </w:r>
      <w:r w:rsidRPr="00CC0429">
        <w:rPr>
          <w:bCs/>
        </w:rPr>
        <w:tab/>
        <w:t xml:space="preserve">    </w:t>
      </w:r>
      <w:r w:rsidR="006C1BD0" w:rsidRPr="00CC0429">
        <w:rPr>
          <w:bCs/>
        </w:rPr>
        <w:t xml:space="preserve">13. </w:t>
      </w:r>
      <w:r w:rsidRPr="00CC0429">
        <w:rPr>
          <w:bCs/>
        </w:rPr>
        <w:t>Mokymo lėšos naudojamos laikantis teisės aktų, reglamentuojančių Lietuvos Respublikos valstybės biudžeto ir savivaldybių biudžetų sudarymą ir vykdymą</w:t>
      </w:r>
      <w:r w:rsidR="00F337E2" w:rsidRPr="00CC0429">
        <w:rPr>
          <w:bCs/>
        </w:rPr>
        <w:t xml:space="preserve">, </w:t>
      </w:r>
      <w:r w:rsidR="00771B74" w:rsidRPr="00CC0429">
        <w:rPr>
          <w:bCs/>
        </w:rPr>
        <w:t xml:space="preserve">Lietuvos Respublikos </w:t>
      </w:r>
      <w:r w:rsidR="00F337E2" w:rsidRPr="00CC0429">
        <w:rPr>
          <w:bCs/>
        </w:rPr>
        <w:t xml:space="preserve">Vyriausybės patvirtintu </w:t>
      </w:r>
      <w:r w:rsidR="00D54C6F" w:rsidRPr="00CC0429">
        <w:rPr>
          <w:bCs/>
        </w:rPr>
        <w:t>Mokymo lėšų apskaičiavimo, paskirstymo ir panaudojimo tvarkos aprašu</w:t>
      </w:r>
      <w:r w:rsidRPr="00CC0429">
        <w:rPr>
          <w:bCs/>
        </w:rPr>
        <w:t xml:space="preserve"> ir atsižvelgiant į </w:t>
      </w:r>
      <w:r w:rsidR="00771B74" w:rsidRPr="00CC0429">
        <w:rPr>
          <w:bCs/>
        </w:rPr>
        <w:t>Lietuvos Respublikos š</w:t>
      </w:r>
      <w:r w:rsidRPr="00CC0429">
        <w:rPr>
          <w:bCs/>
        </w:rPr>
        <w:t>vietimo ir  mokslo ministro patvirtintas lėšų naudojimo atitinkamoms reikmėms tenkinti rekomendacijas.</w:t>
      </w:r>
    </w:p>
    <w:p w:rsidR="0069085F" w:rsidRPr="00CC0429" w:rsidRDefault="00FB5099" w:rsidP="00FB5099">
      <w:pPr>
        <w:tabs>
          <w:tab w:val="left" w:pos="0"/>
          <w:tab w:val="left" w:pos="284"/>
        </w:tabs>
        <w:ind w:hanging="360"/>
        <w:jc w:val="both"/>
        <w:rPr>
          <w:bCs/>
        </w:rPr>
      </w:pPr>
      <w:r w:rsidRPr="00CC0429">
        <w:rPr>
          <w:bCs/>
        </w:rPr>
        <w:tab/>
        <w:t xml:space="preserve">         14. </w:t>
      </w:r>
      <w:r w:rsidR="0069085F" w:rsidRPr="00CC0429">
        <w:rPr>
          <w:bCs/>
        </w:rPr>
        <w:t>Asignavimų valdytojai atsako u</w:t>
      </w:r>
      <w:r w:rsidRPr="00CC0429">
        <w:rPr>
          <w:bCs/>
        </w:rPr>
        <w:t>ž mokymo lėšų naudojimą</w:t>
      </w:r>
      <w:r w:rsidR="0069085F" w:rsidRPr="00CC0429">
        <w:rPr>
          <w:bCs/>
        </w:rPr>
        <w:t xml:space="preserve"> pagal paskirtį, teisingą lėšų apskaitą ir ataskaitų sudarymą.</w:t>
      </w:r>
    </w:p>
    <w:p w:rsidR="00DB75B9" w:rsidRPr="00CC0429" w:rsidRDefault="0069085F" w:rsidP="00DB75B9">
      <w:pPr>
        <w:tabs>
          <w:tab w:val="left" w:pos="0"/>
          <w:tab w:val="left" w:pos="284"/>
        </w:tabs>
        <w:ind w:hanging="360"/>
        <w:jc w:val="both"/>
        <w:rPr>
          <w:bCs/>
        </w:rPr>
      </w:pPr>
      <w:r w:rsidRPr="00CC0429">
        <w:rPr>
          <w:bCs/>
        </w:rPr>
        <w:tab/>
      </w:r>
      <w:r w:rsidRPr="00CC0429">
        <w:rPr>
          <w:bCs/>
        </w:rPr>
        <w:tab/>
        <w:t xml:space="preserve">     15. Nepanaudotas mokymo lėšas asignavimų valdytojai perveda į savivaldybės biudžeto sąskaitą Finansų skyriaus nustatytai</w:t>
      </w:r>
      <w:r w:rsidR="0012403D" w:rsidRPr="00CC0429">
        <w:rPr>
          <w:bCs/>
        </w:rPr>
        <w:t xml:space="preserve">s terminais, Finansų skyrius – </w:t>
      </w:r>
      <w:r w:rsidRPr="00CC0429">
        <w:rPr>
          <w:bCs/>
        </w:rPr>
        <w:t xml:space="preserve">į valstybės biudžeto sąskaitą </w:t>
      </w:r>
      <w:r w:rsidR="00771B74" w:rsidRPr="00CC0429">
        <w:rPr>
          <w:bCs/>
        </w:rPr>
        <w:t>Lietuvos Respublikos š</w:t>
      </w:r>
      <w:r w:rsidRPr="00CC0429">
        <w:rPr>
          <w:bCs/>
        </w:rPr>
        <w:t>vietimo ir mokslo ministerijos</w:t>
      </w:r>
      <w:r w:rsidR="00DB75B9" w:rsidRPr="00CC0429">
        <w:rPr>
          <w:bCs/>
        </w:rPr>
        <w:t xml:space="preserve"> nustatytais  terminais.</w:t>
      </w:r>
    </w:p>
    <w:p w:rsidR="004F7D5E" w:rsidRPr="00CC0429" w:rsidRDefault="00DB75B9" w:rsidP="00DB75B9">
      <w:pPr>
        <w:tabs>
          <w:tab w:val="left" w:pos="0"/>
          <w:tab w:val="left" w:pos="284"/>
        </w:tabs>
        <w:ind w:hanging="360"/>
        <w:jc w:val="both"/>
        <w:rPr>
          <w:bCs/>
        </w:rPr>
      </w:pPr>
      <w:r w:rsidRPr="00CC0429">
        <w:rPr>
          <w:bCs/>
        </w:rPr>
        <w:t xml:space="preserve">                              </w:t>
      </w:r>
      <w:r w:rsidR="004F7D5E" w:rsidRPr="00CC0429">
        <w:rPr>
          <w:bCs/>
        </w:rPr>
        <w:t>___________________________________________</w:t>
      </w:r>
    </w:p>
    <w:p w:rsidR="004F7D5E" w:rsidRPr="00CC0429" w:rsidRDefault="004F7D5E" w:rsidP="004F7D5E">
      <w:pPr>
        <w:tabs>
          <w:tab w:val="left" w:pos="284"/>
          <w:tab w:val="left" w:pos="993"/>
        </w:tabs>
        <w:ind w:left="1080"/>
        <w:rPr>
          <w:bCs/>
        </w:rPr>
      </w:pPr>
    </w:p>
    <w:p w:rsidR="004F7D5E" w:rsidRPr="00CC0429" w:rsidRDefault="004F7D5E" w:rsidP="004F7D5E">
      <w:pPr>
        <w:jc w:val="center"/>
        <w:rPr>
          <w:bCs/>
        </w:rPr>
      </w:pPr>
      <w:r w:rsidRPr="00CC0429">
        <w:rPr>
          <w:bCs/>
        </w:rPr>
        <w:lastRenderedPageBreak/>
        <w:tab/>
      </w:r>
      <w:r w:rsidRPr="00CC0429">
        <w:rPr>
          <w:bCs/>
        </w:rPr>
        <w:tab/>
      </w:r>
      <w:r w:rsidRPr="00CC0429">
        <w:rPr>
          <w:bCs/>
        </w:rPr>
        <w:tab/>
      </w:r>
      <w:r w:rsidRPr="00CC0429">
        <w:rPr>
          <w:bCs/>
        </w:rPr>
        <w:tab/>
      </w:r>
      <w:r w:rsidRPr="00CC0429">
        <w:rPr>
          <w:bCs/>
        </w:rPr>
        <w:tab/>
      </w:r>
      <w:r w:rsidRPr="00CC0429">
        <w:rPr>
          <w:bCs/>
        </w:rPr>
        <w:tab/>
      </w:r>
    </w:p>
    <w:p w:rsidR="000F27F3" w:rsidRPr="00CC0429" w:rsidRDefault="000F27F3" w:rsidP="004F7D5E">
      <w:r w:rsidRPr="00CC0429">
        <w:t>Rokiškio rajono savivaldybės tarybai</w:t>
      </w:r>
    </w:p>
    <w:p w:rsidR="000F27F3" w:rsidRPr="00CC0429" w:rsidRDefault="000F27F3" w:rsidP="004F7D5E">
      <w:pPr>
        <w:jc w:val="center"/>
        <w:rPr>
          <w:b/>
        </w:rPr>
      </w:pPr>
    </w:p>
    <w:p w:rsidR="000F27F3" w:rsidRPr="00CC0429" w:rsidRDefault="000F27F3" w:rsidP="004F7D5E">
      <w:pPr>
        <w:jc w:val="center"/>
        <w:rPr>
          <w:b/>
        </w:rPr>
      </w:pPr>
    </w:p>
    <w:p w:rsidR="00A97993" w:rsidRPr="00CC0429" w:rsidRDefault="000F27F3" w:rsidP="007A4BD6">
      <w:pPr>
        <w:jc w:val="center"/>
        <w:rPr>
          <w:b/>
        </w:rPr>
      </w:pPr>
      <w:r w:rsidRPr="00CC0429">
        <w:rPr>
          <w:b/>
        </w:rPr>
        <w:t xml:space="preserve">SPRENDIMO </w:t>
      </w:r>
      <w:r w:rsidR="007A4BD6" w:rsidRPr="00CC0429">
        <w:rPr>
          <w:b/>
        </w:rPr>
        <w:t xml:space="preserve">PROJEKTO </w:t>
      </w:r>
      <w:r w:rsidRPr="00CC0429">
        <w:rPr>
          <w:b/>
        </w:rPr>
        <w:t xml:space="preserve">„DĖL </w:t>
      </w:r>
      <w:r w:rsidR="002D16C7" w:rsidRPr="00CC0429">
        <w:rPr>
          <w:b/>
        </w:rPr>
        <w:t>ROKIŠKIO RAJONO SAVIVALDYBEI SKIRTŲ VALSTYBĖS BIUDŽETO</w:t>
      </w:r>
      <w:r w:rsidR="00732F14" w:rsidRPr="00CC0429">
        <w:rPr>
          <w:b/>
        </w:rPr>
        <w:t xml:space="preserve"> MOKYMO</w:t>
      </w:r>
      <w:r w:rsidR="007A4BD6" w:rsidRPr="00CC0429">
        <w:rPr>
          <w:b/>
        </w:rPr>
        <w:t xml:space="preserve"> LĖŠŲ PASKIRSTYMO, </w:t>
      </w:r>
      <w:r w:rsidR="00732F14" w:rsidRPr="00CC0429">
        <w:rPr>
          <w:b/>
        </w:rPr>
        <w:t>PERSKIRSTYMO IR NAUDOJIMO</w:t>
      </w:r>
      <w:r w:rsidRPr="00CC0429">
        <w:rPr>
          <w:b/>
        </w:rPr>
        <w:t xml:space="preserve"> TVARKOS APRAŠO PATVIRTINIMO“</w:t>
      </w:r>
    </w:p>
    <w:p w:rsidR="00A97993" w:rsidRPr="00CC0429" w:rsidRDefault="00A97993" w:rsidP="007A4BD6">
      <w:pPr>
        <w:jc w:val="center"/>
        <w:rPr>
          <w:b/>
        </w:rPr>
      </w:pPr>
      <w:r w:rsidRPr="00CC0429">
        <w:rPr>
          <w:b/>
        </w:rPr>
        <w:t>AIŠKINAMASIS RAŠTAS</w:t>
      </w:r>
    </w:p>
    <w:p w:rsidR="000F27F3" w:rsidRPr="00CC0429" w:rsidRDefault="000F27F3" w:rsidP="007A4BD6">
      <w:pPr>
        <w:jc w:val="center"/>
        <w:rPr>
          <w:b/>
        </w:rPr>
      </w:pPr>
    </w:p>
    <w:p w:rsidR="000F27F3" w:rsidRPr="00CC0429" w:rsidRDefault="000F27F3" w:rsidP="004F7D5E">
      <w:pPr>
        <w:rPr>
          <w:b/>
        </w:rPr>
      </w:pPr>
    </w:p>
    <w:p w:rsidR="00961799" w:rsidRPr="00CC0429" w:rsidRDefault="007A4BD6" w:rsidP="007A4BD6">
      <w:pPr>
        <w:pStyle w:val="prastasistinklapis"/>
        <w:spacing w:before="0" w:beforeAutospacing="0" w:after="0" w:afterAutospacing="0"/>
      </w:pPr>
      <w:r w:rsidRPr="00CC0429">
        <w:rPr>
          <w:rStyle w:val="Grietas"/>
          <w:color w:val="000000"/>
        </w:rPr>
        <w:tab/>
      </w:r>
      <w:r w:rsidR="000F27F3" w:rsidRPr="00CC0429">
        <w:rPr>
          <w:rStyle w:val="Grietas"/>
          <w:color w:val="000000"/>
        </w:rPr>
        <w:t>Parengto teisės akto proje</w:t>
      </w:r>
      <w:r w:rsidR="00A97993" w:rsidRPr="00CC0429">
        <w:rPr>
          <w:rStyle w:val="Grietas"/>
          <w:color w:val="000000"/>
        </w:rPr>
        <w:t>kto tikslai ir uždaviniai.</w:t>
      </w:r>
      <w:r w:rsidR="00961799" w:rsidRPr="00CC0429">
        <w:rPr>
          <w:rStyle w:val="Grietas"/>
          <w:b w:val="0"/>
          <w:color w:val="000000"/>
        </w:rPr>
        <w:tab/>
      </w:r>
      <w:r w:rsidR="00540188" w:rsidRPr="00CC0429">
        <w:rPr>
          <w:rStyle w:val="Grietas"/>
          <w:b w:val="0"/>
          <w:color w:val="000000"/>
        </w:rPr>
        <w:t xml:space="preserve"> </w:t>
      </w:r>
      <w:r w:rsidR="00961799" w:rsidRPr="00CC0429">
        <w:t>Remiantis</w:t>
      </w:r>
      <w:r w:rsidRPr="00CC0429">
        <w:t xml:space="preserve"> </w:t>
      </w:r>
      <w:r w:rsidR="00961799" w:rsidRPr="00CC0429">
        <w:t>Lietuvos Respublikos Valstybės ir savivaldybių įstaigų darbuotojų darbo apmokėjimo įstatymo 2018 m. birželi</w:t>
      </w:r>
      <w:r w:rsidR="0028076D" w:rsidRPr="00CC0429">
        <w:t>o 29 d.  pakeitimu Nr. XIII-139,</w:t>
      </w:r>
      <w:r w:rsidR="00961799" w:rsidRPr="00CC0429">
        <w:t xml:space="preserve"> nuo 2018 m. rugsėjo 1 d. atsisakoma mokytojų valandinio tarifinio darbo apmokėjimo sistemos ir pereinama prie mokytojų etatinio darbo apmokėjimo sistemos modelio. Kartu su šiais pasikeitimais keičiamas ir mokyklų finansavimo modelis, skiriant specialios tikslinės dotacijos mokymo lėšas (šiuo metu speciali tikslinė dotacija mokinio (klasės, grupės) krepšeliui finansuoti). Lietuvos Respublikos Vyriausybės 2018 m. liepos 11 d.  nutarimu Nr. 679 patvirtintas </w:t>
      </w:r>
      <w:r w:rsidR="0028076D" w:rsidRPr="00CC0429">
        <w:t>M</w:t>
      </w:r>
      <w:r w:rsidR="00961799" w:rsidRPr="00CC0429">
        <w:t xml:space="preserve">okymo lėšų apskaičiavimo, paskirstymo ir panaudojimo tvarkos aprašas, kurio 12 p.  nurodoma, remiantis patvirtintu tvarkos aprašu savivaldybėms skiriamas mokymo lėšas, skirtas ugdymo reikmėms tenkinti, savivaldybė mokykloms paskirsto </w:t>
      </w:r>
      <w:r w:rsidR="00961799" w:rsidRPr="00CC0429">
        <w:rPr>
          <w:i/>
          <w:u w:val="single"/>
        </w:rPr>
        <w:t>savo nustatyta tvarka</w:t>
      </w:r>
      <w:r w:rsidR="00961799" w:rsidRPr="00CC0429">
        <w:t xml:space="preserve"> vadovaudamasi </w:t>
      </w:r>
      <w:r w:rsidR="002D16C7" w:rsidRPr="00CC0429">
        <w:t>LR Vyriausybės patvirtinto</w:t>
      </w:r>
      <w:r w:rsidR="00961799" w:rsidRPr="00CC0429">
        <w:t xml:space="preserve"> aprašo 13 punktu. </w:t>
      </w:r>
    </w:p>
    <w:p w:rsidR="00A97993" w:rsidRPr="00CC0429" w:rsidRDefault="0028076D" w:rsidP="004F7D5E">
      <w:r w:rsidRPr="00CC0429">
        <w:rPr>
          <w:b/>
        </w:rPr>
        <w:tab/>
      </w:r>
      <w:r w:rsidR="00A97993" w:rsidRPr="00CC0429">
        <w:rPr>
          <w:b/>
        </w:rPr>
        <w:t xml:space="preserve">Šiuo metu esantis teisinis reglamentavimas. </w:t>
      </w:r>
      <w:r w:rsidR="00A97993" w:rsidRPr="00CC0429">
        <w:t>Sprendimo projektas parengtas vadovaujantis Lietuvos Respublikos</w:t>
      </w:r>
      <w:r w:rsidR="005966E2" w:rsidRPr="00CC0429">
        <w:t xml:space="preserve"> Vyriausybės</w:t>
      </w:r>
      <w:r w:rsidR="00961799" w:rsidRPr="00CC0429">
        <w:t xml:space="preserve"> 2018 m. liepos 11 d. nutarimu patvirtintu </w:t>
      </w:r>
      <w:r w:rsidR="00A97993" w:rsidRPr="00CC0429">
        <w:t>Mok</w:t>
      </w:r>
      <w:r w:rsidR="00961799" w:rsidRPr="00CC0429">
        <w:t>ymo</w:t>
      </w:r>
      <w:r w:rsidR="00A97993" w:rsidRPr="00CC0429">
        <w:t xml:space="preserve"> lėšų apskaičiavimo</w:t>
      </w:r>
      <w:r w:rsidR="00961799" w:rsidRPr="00CC0429">
        <w:t xml:space="preserve">, </w:t>
      </w:r>
      <w:r w:rsidR="00A97993" w:rsidRPr="00CC0429">
        <w:t>paskirstymo</w:t>
      </w:r>
      <w:r w:rsidR="00961799" w:rsidRPr="00CC0429">
        <w:t xml:space="preserve"> ir panaudojimo tvarkos aprašu</w:t>
      </w:r>
      <w:r w:rsidR="00A97993" w:rsidRPr="00CC0429">
        <w:t>.</w:t>
      </w:r>
    </w:p>
    <w:p w:rsidR="006B6263" w:rsidRPr="00CC0429" w:rsidRDefault="0028076D" w:rsidP="004F7D5E">
      <w:pPr>
        <w:rPr>
          <w:b/>
        </w:rPr>
      </w:pPr>
      <w:r w:rsidRPr="00CC0429">
        <w:rPr>
          <w:b/>
        </w:rPr>
        <w:tab/>
      </w:r>
      <w:r w:rsidR="006B6263" w:rsidRPr="00CC0429">
        <w:rPr>
          <w:b/>
        </w:rPr>
        <w:t>Sprendimo projekto esmė.</w:t>
      </w:r>
    </w:p>
    <w:p w:rsidR="00035720" w:rsidRPr="00CC0429" w:rsidRDefault="006B6263" w:rsidP="00A64389">
      <w:pPr>
        <w:tabs>
          <w:tab w:val="left" w:pos="0"/>
        </w:tabs>
      </w:pPr>
      <w:r w:rsidRPr="00CC0429">
        <w:tab/>
      </w:r>
      <w:r w:rsidR="00035720" w:rsidRPr="00CC0429">
        <w:t>Pagrindiniai pasikeitimai:</w:t>
      </w:r>
    </w:p>
    <w:p w:rsidR="00035720" w:rsidRPr="00CC0429" w:rsidRDefault="00A64389" w:rsidP="00A64389">
      <w:pPr>
        <w:tabs>
          <w:tab w:val="left" w:pos="0"/>
          <w:tab w:val="left" w:pos="709"/>
        </w:tabs>
        <w:contextualSpacing/>
      </w:pPr>
      <w:r w:rsidRPr="00CC0429">
        <w:tab/>
      </w:r>
      <w:r w:rsidRPr="00CC0429">
        <w:tab/>
      </w:r>
      <w:r w:rsidR="00035720" w:rsidRPr="00CC0429">
        <w:t xml:space="preserve">Atskiriamos savivaldybei skiriamos lėšos </w:t>
      </w:r>
      <w:r w:rsidR="00035720" w:rsidRPr="00CC0429">
        <w:rPr>
          <w:i/>
          <w:u w:val="single"/>
        </w:rPr>
        <w:t>ugdymo procesui organizuoti ir valdyti</w:t>
      </w:r>
      <w:r w:rsidR="00035720" w:rsidRPr="00CC0429">
        <w:t>. Šios lėšos skiriamos pagal vaikų skaičių</w:t>
      </w:r>
      <w:r w:rsidR="008D7074" w:rsidRPr="00CC0429">
        <w:t xml:space="preserve"> ir bazinės algos pareiginį dydį </w:t>
      </w:r>
      <w:r w:rsidR="00035720" w:rsidRPr="00CC0429">
        <w:t xml:space="preserve"> (iki šiol šios lėšos buvo skaičiuojamos nuo lėšų ugdymo planui). Šių lėšų paskirstymas numatytas sprendimo projekte pateiktame tvarkos aprašo 5 punkte; </w:t>
      </w:r>
    </w:p>
    <w:p w:rsidR="00A64389" w:rsidRPr="00CC0429" w:rsidRDefault="00A64389" w:rsidP="00A64389">
      <w:pPr>
        <w:tabs>
          <w:tab w:val="left" w:pos="0"/>
          <w:tab w:val="left" w:pos="709"/>
        </w:tabs>
        <w:contextualSpacing/>
        <w:jc w:val="both"/>
      </w:pPr>
      <w:r w:rsidRPr="00CC0429">
        <w:tab/>
      </w:r>
      <w:r w:rsidRPr="00CC0429">
        <w:tab/>
      </w:r>
      <w:r w:rsidR="00035720" w:rsidRPr="00CC0429">
        <w:t xml:space="preserve">Atskiriamos savivaldybei skiriamos lėšos </w:t>
      </w:r>
      <w:r w:rsidR="00035720" w:rsidRPr="00CC0429">
        <w:rPr>
          <w:i/>
          <w:u w:val="single"/>
        </w:rPr>
        <w:t xml:space="preserve">švietimo pagalbai </w:t>
      </w:r>
      <w:r w:rsidR="00035720" w:rsidRPr="00CC0429">
        <w:t xml:space="preserve">. Šios lėšos skiriamos pagal vaikų skaičių ir </w:t>
      </w:r>
      <w:r w:rsidR="008D7074" w:rsidRPr="00CC0429">
        <w:t>V</w:t>
      </w:r>
      <w:r w:rsidR="00035720" w:rsidRPr="00CC0429">
        <w:t>yriausybės patvirtinto t</w:t>
      </w:r>
      <w:r w:rsidR="008D7074" w:rsidRPr="00CC0429">
        <w:t xml:space="preserve">varkos parašo 1 priede nustatytus ugdymo reikmių koeficientus, kurių dydis priklauso nuo </w:t>
      </w:r>
      <w:proofErr w:type="spellStart"/>
      <w:r w:rsidR="008D7074" w:rsidRPr="00CC0429">
        <w:t>spec</w:t>
      </w:r>
      <w:proofErr w:type="spellEnd"/>
      <w:r w:rsidR="008D7074" w:rsidRPr="00CC0429">
        <w:t xml:space="preserve">. ugdymosi poreikius turinčių vaikų.  Lėšas savivaldybė </w:t>
      </w:r>
      <w:r w:rsidR="00035720" w:rsidRPr="00CC0429">
        <w:t>skirsto savo nustatyta tvarka. Šių lėšų paskirstymas numatytas sprendimo projekte pat</w:t>
      </w:r>
      <w:r w:rsidRPr="00CC0429">
        <w:t>eiktame tvarkos aprašo 6 punkte</w:t>
      </w:r>
      <w:r w:rsidR="008D7074" w:rsidRPr="00CC0429">
        <w:t>.</w:t>
      </w:r>
    </w:p>
    <w:p w:rsidR="00035720" w:rsidRPr="00CC0429" w:rsidRDefault="00A64389" w:rsidP="00A64389">
      <w:pPr>
        <w:tabs>
          <w:tab w:val="left" w:pos="0"/>
          <w:tab w:val="left" w:pos="709"/>
        </w:tabs>
        <w:contextualSpacing/>
        <w:jc w:val="both"/>
      </w:pPr>
      <w:r w:rsidRPr="00CC0429">
        <w:tab/>
      </w:r>
      <w:r w:rsidRPr="00CC0429">
        <w:tab/>
      </w:r>
      <w:r w:rsidR="00035720" w:rsidRPr="00CC0429">
        <w:t xml:space="preserve">Lėšos </w:t>
      </w:r>
      <w:r w:rsidR="00035720" w:rsidRPr="00CC0429">
        <w:rPr>
          <w:i/>
          <w:u w:val="single"/>
        </w:rPr>
        <w:t>ugdymo finansavimo poreikių skirtumams tarp mokyklų sumažinti</w:t>
      </w:r>
      <w:r w:rsidR="00035720" w:rsidRPr="00CC0429">
        <w:t xml:space="preserve"> sudaro 2 procentus, apskaičiuotus nuo lėšų ugdymo planui (ugdomajai veiklai) įgyvendinti (iki šiol šios lėšos sudarė </w:t>
      </w:r>
      <w:r w:rsidR="008D7074" w:rsidRPr="00CC0429">
        <w:t>7 proc.)</w:t>
      </w:r>
      <w:r w:rsidR="00035720" w:rsidRPr="00CC0429">
        <w:t xml:space="preserve">. Šių lėšų paskirstymas numatytas sprendimo projekte pateiktame tvarkos aprašo </w:t>
      </w:r>
      <w:r w:rsidR="00C16E03" w:rsidRPr="00CC0429">
        <w:t>9</w:t>
      </w:r>
      <w:r w:rsidR="00035720" w:rsidRPr="00CC0429">
        <w:t xml:space="preserve">  punkt</w:t>
      </w:r>
      <w:r w:rsidR="00C16E03" w:rsidRPr="00CC0429">
        <w:t>e</w:t>
      </w:r>
      <w:r w:rsidR="00035720" w:rsidRPr="00CC0429">
        <w:t>;</w:t>
      </w:r>
    </w:p>
    <w:p w:rsidR="00035720" w:rsidRPr="00CC0429" w:rsidRDefault="003879FB" w:rsidP="003879FB">
      <w:pPr>
        <w:tabs>
          <w:tab w:val="left" w:pos="709"/>
        </w:tabs>
        <w:contextualSpacing/>
        <w:jc w:val="both"/>
      </w:pPr>
      <w:r w:rsidRPr="00CC0429">
        <w:tab/>
      </w:r>
      <w:r w:rsidRPr="00CC0429">
        <w:tab/>
      </w:r>
      <w:r w:rsidR="00035720" w:rsidRPr="00CC0429">
        <w:t>Lėšos ugdymo planui (ugdomajai veiklai) įgyvendinti skiriamos mokykloms atsižvelgiant į sąlyginį klasės (grupės) dydį mokinių sraute ir jų skaičių. Šios lėšos skiriamos mokyklai pagal einamųjų metų rugsėjo 1 d. vaikų skaičių ir jų skirstyti savivaldybei nereikia</w:t>
      </w:r>
      <w:r w:rsidR="00035720" w:rsidRPr="00CC0429">
        <w:rPr>
          <w:i/>
        </w:rPr>
        <w:t>,</w:t>
      </w:r>
      <w:r w:rsidR="00035720" w:rsidRPr="00CC0429">
        <w:t xml:space="preserve"> todėl ir tvarkos aprašo projekte šių lėšų paskirstymas ner</w:t>
      </w:r>
      <w:r w:rsidR="00C16E03" w:rsidRPr="00CC0429">
        <w:t>eglamentuojamas.</w:t>
      </w:r>
      <w:r w:rsidR="00035720" w:rsidRPr="00CC0429">
        <w:t xml:space="preserve"> </w:t>
      </w:r>
    </w:p>
    <w:p w:rsidR="000F27F3" w:rsidRPr="00CC0429" w:rsidRDefault="003879FB" w:rsidP="00035720">
      <w:r w:rsidRPr="00CC0429">
        <w:tab/>
      </w:r>
      <w:r w:rsidR="00035720" w:rsidRPr="00CC0429">
        <w:t xml:space="preserve">Tvarkos aprašo projekto 12 punkte nurodomos nuostatos kaip lėšos perskirstomos pasikeitus vaikų skaičiui rugsėjo 1 d.  </w:t>
      </w:r>
    </w:p>
    <w:p w:rsidR="00C01A33" w:rsidRPr="00CC0429" w:rsidRDefault="0028076D" w:rsidP="004F7D5E">
      <w:r w:rsidRPr="00CC0429">
        <w:rPr>
          <w:b/>
        </w:rPr>
        <w:tab/>
      </w:r>
      <w:r w:rsidR="00C01A33" w:rsidRPr="00CC0429">
        <w:rPr>
          <w:b/>
        </w:rPr>
        <w:t>G</w:t>
      </w:r>
      <w:r w:rsidR="000F27F3" w:rsidRPr="00CC0429">
        <w:rPr>
          <w:b/>
          <w:bCs/>
        </w:rPr>
        <w:t>alimos pasekmės</w:t>
      </w:r>
      <w:r w:rsidR="00C01A33" w:rsidRPr="00CC0429">
        <w:rPr>
          <w:b/>
          <w:bCs/>
        </w:rPr>
        <w:t>, priėmus siūlomą tarybos sprendimo projektą</w:t>
      </w:r>
      <w:r w:rsidR="000F27F3" w:rsidRPr="00CC0429">
        <w:t>:</w:t>
      </w:r>
    </w:p>
    <w:p w:rsidR="00C01A33" w:rsidRPr="00CC0429" w:rsidRDefault="0028076D" w:rsidP="004F7D5E">
      <w:r w:rsidRPr="00CC0429">
        <w:rPr>
          <w:b/>
        </w:rPr>
        <w:tab/>
      </w:r>
      <w:r w:rsidR="00C01A33" w:rsidRPr="00CC0429">
        <w:rPr>
          <w:b/>
        </w:rPr>
        <w:t xml:space="preserve">teigiamos </w:t>
      </w:r>
      <w:r w:rsidR="00C01A33" w:rsidRPr="00CC0429">
        <w:t>– bus laikomasi teisės aktuose nustatytų nuostatų;</w:t>
      </w:r>
    </w:p>
    <w:p w:rsidR="00C01A33" w:rsidRPr="00CC0429" w:rsidRDefault="0028076D" w:rsidP="004F7D5E">
      <w:r w:rsidRPr="00CC0429">
        <w:rPr>
          <w:b/>
        </w:rPr>
        <w:tab/>
      </w:r>
      <w:r w:rsidR="00C01A33" w:rsidRPr="00CC0429">
        <w:rPr>
          <w:b/>
        </w:rPr>
        <w:t xml:space="preserve">neigiamos </w:t>
      </w:r>
      <w:r w:rsidR="00C01A33" w:rsidRPr="00CC0429">
        <w:t>– nebus.</w:t>
      </w:r>
      <w:r w:rsidR="000F27F3" w:rsidRPr="00CC0429">
        <w:t xml:space="preserve"> </w:t>
      </w:r>
    </w:p>
    <w:p w:rsidR="00C01A33" w:rsidRPr="00CC0429" w:rsidRDefault="0028076D" w:rsidP="004F7D5E">
      <w:r w:rsidRPr="00CC0429">
        <w:rPr>
          <w:b/>
        </w:rPr>
        <w:tab/>
      </w:r>
      <w:r w:rsidR="00C01A33" w:rsidRPr="00CC0429">
        <w:rPr>
          <w:b/>
        </w:rPr>
        <w:t>Finansavimo šaltiniai ir lėšų poreikis.</w:t>
      </w:r>
      <w:r w:rsidRPr="00CC0429">
        <w:rPr>
          <w:b/>
        </w:rPr>
        <w:t xml:space="preserve"> </w:t>
      </w:r>
      <w:r w:rsidR="00C01A33" w:rsidRPr="00CC0429">
        <w:t xml:space="preserve">Finansavimo šaltinis – </w:t>
      </w:r>
      <w:r w:rsidR="00F3543B" w:rsidRPr="00CC0429">
        <w:t xml:space="preserve">iš Lietuvos Respublikos valstybės biudžeto skiriamos </w:t>
      </w:r>
      <w:r w:rsidR="00C01A33" w:rsidRPr="00CC0429">
        <w:t>mok</w:t>
      </w:r>
      <w:r w:rsidR="00F3543B" w:rsidRPr="00CC0429">
        <w:t>ymo</w:t>
      </w:r>
      <w:r w:rsidR="00C01A33" w:rsidRPr="00CC0429">
        <w:t xml:space="preserve"> lėšos</w:t>
      </w:r>
      <w:r w:rsidR="005966E2" w:rsidRPr="00CC0429">
        <w:t xml:space="preserve">. Sprendimui įgyvendinti </w:t>
      </w:r>
      <w:r w:rsidR="00F3543B" w:rsidRPr="00CC0429">
        <w:t xml:space="preserve"> gali reikėti </w:t>
      </w:r>
      <w:r w:rsidR="005966E2" w:rsidRPr="00CC0429">
        <w:t xml:space="preserve"> savivaldybės biudžeto lėšų </w:t>
      </w:r>
      <w:r w:rsidR="00A64389" w:rsidRPr="00CC0429">
        <w:t xml:space="preserve">ugdomajai veiklai, kai faktinis mokinių skaičius mokinių sraute yra </w:t>
      </w:r>
      <w:r w:rsidR="00A64389" w:rsidRPr="00CC0429">
        <w:lastRenderedPageBreak/>
        <w:t>mažesnis už mažiausią sąlyginės klasės mokinių skaičių, taip pat švietimo pagalbai užtikrinti, kai nepakanka valstybės biudžeto skiriamų lėšų</w:t>
      </w:r>
      <w:r w:rsidR="005966E2" w:rsidRPr="00CC0429">
        <w:t>.</w:t>
      </w:r>
      <w:r w:rsidR="00590136" w:rsidRPr="00CC0429">
        <w:t xml:space="preserve"> Lėšų poreikis priklauso nuo </w:t>
      </w:r>
      <w:r w:rsidRPr="00CC0429">
        <w:t>v</w:t>
      </w:r>
      <w:r w:rsidR="00590136" w:rsidRPr="00CC0429">
        <w:t xml:space="preserve">alstybės biudžeto skiriamų </w:t>
      </w:r>
      <w:r w:rsidRPr="00CC0429">
        <w:t>m</w:t>
      </w:r>
      <w:r w:rsidR="00590136" w:rsidRPr="00CC0429">
        <w:t>okymo lėšų.</w:t>
      </w:r>
    </w:p>
    <w:p w:rsidR="005966E2" w:rsidRPr="00CC0429" w:rsidRDefault="0028076D" w:rsidP="004F7D5E">
      <w:pPr>
        <w:rPr>
          <w:b/>
        </w:rPr>
      </w:pPr>
      <w:r w:rsidRPr="00CC0429">
        <w:rPr>
          <w:b/>
        </w:rPr>
        <w:tab/>
      </w:r>
      <w:r w:rsidR="005966E2" w:rsidRPr="00CC0429">
        <w:rPr>
          <w:b/>
        </w:rPr>
        <w:t xml:space="preserve">Suderinamumas su Lietuvos Respublikos galiojančiais teisės norminiais aktais. </w:t>
      </w:r>
    </w:p>
    <w:p w:rsidR="005966E2" w:rsidRPr="00CC0429" w:rsidRDefault="005966E2" w:rsidP="004F7D5E">
      <w:r w:rsidRPr="00CC0429">
        <w:t>Projektas neprieštarauja galiojantiems teisės aktams.</w:t>
      </w:r>
    </w:p>
    <w:p w:rsidR="00800101" w:rsidRPr="00936494" w:rsidRDefault="00800101" w:rsidP="00800101">
      <w:pPr>
        <w:ind w:firstLine="1298"/>
        <w:jc w:val="both"/>
        <w:rPr>
          <w:color w:val="000000"/>
        </w:rPr>
      </w:pPr>
      <w:r w:rsidRPr="00936494">
        <w:rPr>
          <w:b/>
          <w:color w:val="000000"/>
        </w:rPr>
        <w:t>Antikorupcinis vertinimas.</w:t>
      </w:r>
      <w:r w:rsidRPr="00936494">
        <w:rPr>
          <w:color w:val="000000"/>
        </w:rPr>
        <w:t xml:space="preserve"> Teisės akte nenumatoma reguliuoti visuomeninių santykių, susijusių su </w:t>
      </w:r>
      <w:r w:rsidRPr="00936494">
        <w:t>Lietuvos Respublikos k</w:t>
      </w:r>
      <w:r w:rsidRPr="00936494">
        <w:rPr>
          <w:color w:val="000000"/>
        </w:rPr>
        <w:t>orupcijos prevencijos įstatymo 8 straipsnio 1 dalyje numatytais veiksniais, todėl teisės aktas nevertintinas antikorupciniu požiūriu.</w:t>
      </w:r>
    </w:p>
    <w:p w:rsidR="000F27F3" w:rsidRPr="00CC0429" w:rsidRDefault="000F27F3" w:rsidP="004F7D5E">
      <w:pPr>
        <w:jc w:val="both"/>
      </w:pPr>
    </w:p>
    <w:p w:rsidR="000F27F3" w:rsidRPr="00CC0429" w:rsidRDefault="000F27F3" w:rsidP="004F7D5E">
      <w:pPr>
        <w:jc w:val="both"/>
      </w:pPr>
    </w:p>
    <w:p w:rsidR="000F27F3" w:rsidRPr="00CC0429" w:rsidRDefault="000F27F3" w:rsidP="004F7D5E">
      <w:pPr>
        <w:jc w:val="both"/>
      </w:pPr>
      <w:r w:rsidRPr="00CC0429">
        <w:t>Finansų skyriaus v</w:t>
      </w:r>
      <w:r w:rsidR="006E32F4" w:rsidRPr="00CC0429">
        <w:t>yriausioji specialistė</w:t>
      </w:r>
      <w:r w:rsidR="006E32F4" w:rsidRPr="00CC0429">
        <w:tab/>
      </w:r>
      <w:r w:rsidR="006E32F4" w:rsidRPr="00CC0429">
        <w:tab/>
      </w:r>
      <w:r w:rsidR="006E32F4" w:rsidRPr="00CC0429">
        <w:tab/>
        <w:t xml:space="preserve">Aldona </w:t>
      </w:r>
      <w:proofErr w:type="spellStart"/>
      <w:r w:rsidR="006E32F4" w:rsidRPr="00CC0429">
        <w:t>Burdinavičiūtė</w:t>
      </w:r>
      <w:proofErr w:type="spellEnd"/>
      <w:r w:rsidRPr="00CC0429">
        <w:tab/>
      </w:r>
    </w:p>
    <w:p w:rsidR="000F27F3" w:rsidRPr="00CC0429" w:rsidRDefault="000F27F3" w:rsidP="004F7D5E">
      <w:pPr>
        <w:rPr>
          <w:b/>
        </w:rPr>
      </w:pPr>
    </w:p>
    <w:p w:rsidR="00203F0C" w:rsidRPr="00CC0429" w:rsidRDefault="00203F0C" w:rsidP="004F7D5E">
      <w:pPr>
        <w:jc w:val="center"/>
      </w:pPr>
    </w:p>
    <w:sectPr w:rsidR="00203F0C" w:rsidRPr="00CC0429" w:rsidSect="00943FA9">
      <w:pgSz w:w="11906" w:h="16838" w:code="9"/>
      <w:pgMar w:top="136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83" w:rsidRDefault="004B3C83" w:rsidP="00491DC8">
      <w:r>
        <w:separator/>
      </w:r>
    </w:p>
  </w:endnote>
  <w:endnote w:type="continuationSeparator" w:id="0">
    <w:p w:rsidR="004B3C83" w:rsidRDefault="004B3C83" w:rsidP="0049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83" w:rsidRDefault="004B3C83" w:rsidP="00491DC8">
      <w:r>
        <w:separator/>
      </w:r>
    </w:p>
  </w:footnote>
  <w:footnote w:type="continuationSeparator" w:id="0">
    <w:p w:rsidR="004B3C83" w:rsidRDefault="004B3C83" w:rsidP="00491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9FA"/>
    <w:multiLevelType w:val="hybridMultilevel"/>
    <w:tmpl w:val="017C5252"/>
    <w:lvl w:ilvl="0" w:tplc="2B36120E">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2B8A11C3"/>
    <w:multiLevelType w:val="hybridMultilevel"/>
    <w:tmpl w:val="CE90E3F2"/>
    <w:lvl w:ilvl="0" w:tplc="600ACE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24D6626"/>
    <w:multiLevelType w:val="hybridMultilevel"/>
    <w:tmpl w:val="4E962448"/>
    <w:lvl w:ilvl="0" w:tplc="E9C239AE">
      <w:start w:val="1"/>
      <w:numFmt w:val="decimal"/>
      <w:lvlText w:val="%1."/>
      <w:lvlJc w:val="left"/>
      <w:pPr>
        <w:ind w:left="1416" w:hanging="99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4">
    <w:nsid w:val="505A4C1B"/>
    <w:multiLevelType w:val="hybridMultilevel"/>
    <w:tmpl w:val="57D8593C"/>
    <w:lvl w:ilvl="0" w:tplc="73AC118A">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670E4602"/>
    <w:multiLevelType w:val="multilevel"/>
    <w:tmpl w:val="7FD6C1FA"/>
    <w:lvl w:ilvl="0">
      <w:start w:val="2"/>
      <w:numFmt w:val="decimal"/>
      <w:lvlText w:val="%1."/>
      <w:lvlJc w:val="left"/>
      <w:pPr>
        <w:ind w:left="1356" w:hanging="360"/>
      </w:pPr>
      <w:rPr>
        <w:rFonts w:hint="default"/>
      </w:rPr>
    </w:lvl>
    <w:lvl w:ilvl="1">
      <w:start w:val="1"/>
      <w:numFmt w:val="decimal"/>
      <w:isLgl/>
      <w:lvlText w:val="%1.%2."/>
      <w:lvlJc w:val="left"/>
      <w:pPr>
        <w:ind w:left="1476" w:hanging="48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36" w:hanging="1440"/>
      </w:pPr>
      <w:rPr>
        <w:rFonts w:hint="default"/>
      </w:rPr>
    </w:lvl>
    <w:lvl w:ilvl="8">
      <w:start w:val="1"/>
      <w:numFmt w:val="decimal"/>
      <w:isLgl/>
      <w:lvlText w:val="%1.%2.%3.%4.%5.%6.%7.%8.%9."/>
      <w:lvlJc w:val="left"/>
      <w:pPr>
        <w:ind w:left="2796" w:hanging="1800"/>
      </w:pPr>
      <w:rPr>
        <w:rFonts w:hint="default"/>
      </w:rPr>
    </w:lvl>
  </w:abstractNum>
  <w:abstractNum w:abstractNumId="6">
    <w:nsid w:val="7D2D7E55"/>
    <w:multiLevelType w:val="hybridMultilevel"/>
    <w:tmpl w:val="2C88BFE6"/>
    <w:lvl w:ilvl="0" w:tplc="FA4E070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F1E6E0A"/>
    <w:multiLevelType w:val="hybridMultilevel"/>
    <w:tmpl w:val="A3B4DAA0"/>
    <w:lvl w:ilvl="0" w:tplc="05E43690">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72"/>
    <w:rsid w:val="000069EC"/>
    <w:rsid w:val="00012857"/>
    <w:rsid w:val="00017378"/>
    <w:rsid w:val="00021A07"/>
    <w:rsid w:val="00025289"/>
    <w:rsid w:val="00035720"/>
    <w:rsid w:val="00041F67"/>
    <w:rsid w:val="000575D2"/>
    <w:rsid w:val="00071AFA"/>
    <w:rsid w:val="00074D1F"/>
    <w:rsid w:val="00085F5D"/>
    <w:rsid w:val="0009265D"/>
    <w:rsid w:val="000A0450"/>
    <w:rsid w:val="000A6465"/>
    <w:rsid w:val="000B2E61"/>
    <w:rsid w:val="000B4A56"/>
    <w:rsid w:val="000B60A0"/>
    <w:rsid w:val="000C011D"/>
    <w:rsid w:val="000D38CC"/>
    <w:rsid w:val="000E5D59"/>
    <w:rsid w:val="000F27F3"/>
    <w:rsid w:val="00102258"/>
    <w:rsid w:val="001031B2"/>
    <w:rsid w:val="0010596E"/>
    <w:rsid w:val="0012403D"/>
    <w:rsid w:val="00151440"/>
    <w:rsid w:val="001634F2"/>
    <w:rsid w:val="00164731"/>
    <w:rsid w:val="0016659A"/>
    <w:rsid w:val="0016785C"/>
    <w:rsid w:val="00171CC3"/>
    <w:rsid w:val="00176074"/>
    <w:rsid w:val="00185000"/>
    <w:rsid w:val="001A1D58"/>
    <w:rsid w:val="001B378C"/>
    <w:rsid w:val="001B4B72"/>
    <w:rsid w:val="001C1B31"/>
    <w:rsid w:val="001C51EA"/>
    <w:rsid w:val="001C6876"/>
    <w:rsid w:val="001C7D8A"/>
    <w:rsid w:val="001D0CF9"/>
    <w:rsid w:val="001E0EF6"/>
    <w:rsid w:val="001F017B"/>
    <w:rsid w:val="001F1AA2"/>
    <w:rsid w:val="001F6D00"/>
    <w:rsid w:val="00201780"/>
    <w:rsid w:val="00203F0C"/>
    <w:rsid w:val="00214F16"/>
    <w:rsid w:val="00224C72"/>
    <w:rsid w:val="002369FE"/>
    <w:rsid w:val="002454FE"/>
    <w:rsid w:val="00252D20"/>
    <w:rsid w:val="00255BDB"/>
    <w:rsid w:val="0026089C"/>
    <w:rsid w:val="00261AF9"/>
    <w:rsid w:val="0026258D"/>
    <w:rsid w:val="002641D9"/>
    <w:rsid w:val="00276AB0"/>
    <w:rsid w:val="0028076D"/>
    <w:rsid w:val="002B2312"/>
    <w:rsid w:val="002B7542"/>
    <w:rsid w:val="002C033C"/>
    <w:rsid w:val="002C73C3"/>
    <w:rsid w:val="002C79A2"/>
    <w:rsid w:val="002D0835"/>
    <w:rsid w:val="002D1546"/>
    <w:rsid w:val="002D16C7"/>
    <w:rsid w:val="002D587C"/>
    <w:rsid w:val="002E5124"/>
    <w:rsid w:val="002E572D"/>
    <w:rsid w:val="002F3060"/>
    <w:rsid w:val="00306274"/>
    <w:rsid w:val="003236B6"/>
    <w:rsid w:val="00326C9D"/>
    <w:rsid w:val="00340B15"/>
    <w:rsid w:val="0034176F"/>
    <w:rsid w:val="003506AC"/>
    <w:rsid w:val="003553D0"/>
    <w:rsid w:val="00372CC2"/>
    <w:rsid w:val="00374B73"/>
    <w:rsid w:val="00375F2F"/>
    <w:rsid w:val="00387626"/>
    <w:rsid w:val="003879FB"/>
    <w:rsid w:val="003A1BC7"/>
    <w:rsid w:val="003B7A82"/>
    <w:rsid w:val="003C29A7"/>
    <w:rsid w:val="003C6B43"/>
    <w:rsid w:val="003D31A8"/>
    <w:rsid w:val="003D6A19"/>
    <w:rsid w:val="003D702F"/>
    <w:rsid w:val="00403DAC"/>
    <w:rsid w:val="004066B5"/>
    <w:rsid w:val="00407659"/>
    <w:rsid w:val="00420340"/>
    <w:rsid w:val="004278FA"/>
    <w:rsid w:val="00432DCC"/>
    <w:rsid w:val="004428B1"/>
    <w:rsid w:val="004670C2"/>
    <w:rsid w:val="00471FB3"/>
    <w:rsid w:val="00491938"/>
    <w:rsid w:val="00491DC8"/>
    <w:rsid w:val="004935E6"/>
    <w:rsid w:val="004B3C83"/>
    <w:rsid w:val="004C3EF0"/>
    <w:rsid w:val="004D1AD7"/>
    <w:rsid w:val="004D2714"/>
    <w:rsid w:val="004D6278"/>
    <w:rsid w:val="004E08CD"/>
    <w:rsid w:val="004E379F"/>
    <w:rsid w:val="004E48C5"/>
    <w:rsid w:val="004F767B"/>
    <w:rsid w:val="004F7D5E"/>
    <w:rsid w:val="00514C9D"/>
    <w:rsid w:val="00514EFE"/>
    <w:rsid w:val="00517C7A"/>
    <w:rsid w:val="00517C86"/>
    <w:rsid w:val="00525B64"/>
    <w:rsid w:val="00532558"/>
    <w:rsid w:val="00540188"/>
    <w:rsid w:val="00546B0A"/>
    <w:rsid w:val="0054750C"/>
    <w:rsid w:val="00562D86"/>
    <w:rsid w:val="00566065"/>
    <w:rsid w:val="00567470"/>
    <w:rsid w:val="00571226"/>
    <w:rsid w:val="005740E7"/>
    <w:rsid w:val="00577784"/>
    <w:rsid w:val="005818D3"/>
    <w:rsid w:val="00590136"/>
    <w:rsid w:val="00592C96"/>
    <w:rsid w:val="00594E8F"/>
    <w:rsid w:val="005966E2"/>
    <w:rsid w:val="005A242C"/>
    <w:rsid w:val="005A3E81"/>
    <w:rsid w:val="005B736C"/>
    <w:rsid w:val="005C6F93"/>
    <w:rsid w:val="005E1607"/>
    <w:rsid w:val="005F3496"/>
    <w:rsid w:val="005F4FFA"/>
    <w:rsid w:val="00601D2E"/>
    <w:rsid w:val="00603711"/>
    <w:rsid w:val="00623503"/>
    <w:rsid w:val="006311B2"/>
    <w:rsid w:val="00643FA8"/>
    <w:rsid w:val="006638EF"/>
    <w:rsid w:val="00663FFD"/>
    <w:rsid w:val="00676C5A"/>
    <w:rsid w:val="0069085F"/>
    <w:rsid w:val="00692B63"/>
    <w:rsid w:val="00697BEC"/>
    <w:rsid w:val="006A5420"/>
    <w:rsid w:val="006B07CA"/>
    <w:rsid w:val="006B6263"/>
    <w:rsid w:val="006C1BD0"/>
    <w:rsid w:val="006C4208"/>
    <w:rsid w:val="006E32F4"/>
    <w:rsid w:val="006E4CD7"/>
    <w:rsid w:val="00703E33"/>
    <w:rsid w:val="00711112"/>
    <w:rsid w:val="00717391"/>
    <w:rsid w:val="00732343"/>
    <w:rsid w:val="00732F14"/>
    <w:rsid w:val="00733591"/>
    <w:rsid w:val="00736212"/>
    <w:rsid w:val="00751AA4"/>
    <w:rsid w:val="00755D40"/>
    <w:rsid w:val="007625D8"/>
    <w:rsid w:val="00771B74"/>
    <w:rsid w:val="00781C63"/>
    <w:rsid w:val="00794226"/>
    <w:rsid w:val="00794F94"/>
    <w:rsid w:val="007A4BD6"/>
    <w:rsid w:val="007B3E4B"/>
    <w:rsid w:val="007B5CDC"/>
    <w:rsid w:val="007D2EF0"/>
    <w:rsid w:val="007D7EEB"/>
    <w:rsid w:val="007E113F"/>
    <w:rsid w:val="007E2D9B"/>
    <w:rsid w:val="007E5521"/>
    <w:rsid w:val="007F291D"/>
    <w:rsid w:val="00800101"/>
    <w:rsid w:val="008045E9"/>
    <w:rsid w:val="00812C68"/>
    <w:rsid w:val="008148DC"/>
    <w:rsid w:val="00815F27"/>
    <w:rsid w:val="00817A50"/>
    <w:rsid w:val="008226E1"/>
    <w:rsid w:val="00826814"/>
    <w:rsid w:val="00831AA9"/>
    <w:rsid w:val="00832ABF"/>
    <w:rsid w:val="00844943"/>
    <w:rsid w:val="00850C91"/>
    <w:rsid w:val="0085365B"/>
    <w:rsid w:val="008550EA"/>
    <w:rsid w:val="00883A7A"/>
    <w:rsid w:val="008B50A6"/>
    <w:rsid w:val="008B6833"/>
    <w:rsid w:val="008C3925"/>
    <w:rsid w:val="008C4661"/>
    <w:rsid w:val="008C57C0"/>
    <w:rsid w:val="008C644C"/>
    <w:rsid w:val="008D1FF4"/>
    <w:rsid w:val="008D7074"/>
    <w:rsid w:val="008D7965"/>
    <w:rsid w:val="008E21E1"/>
    <w:rsid w:val="009114C7"/>
    <w:rsid w:val="009171B0"/>
    <w:rsid w:val="009173DA"/>
    <w:rsid w:val="00942D0E"/>
    <w:rsid w:val="00943FA9"/>
    <w:rsid w:val="009604F6"/>
    <w:rsid w:val="00961799"/>
    <w:rsid w:val="009730AD"/>
    <w:rsid w:val="00980C68"/>
    <w:rsid w:val="00984762"/>
    <w:rsid w:val="0099147F"/>
    <w:rsid w:val="009927A7"/>
    <w:rsid w:val="009B1817"/>
    <w:rsid w:val="009B1A0E"/>
    <w:rsid w:val="009B3032"/>
    <w:rsid w:val="009C517F"/>
    <w:rsid w:val="009C5C57"/>
    <w:rsid w:val="009C5E1A"/>
    <w:rsid w:val="009C647E"/>
    <w:rsid w:val="009D28CF"/>
    <w:rsid w:val="009D430E"/>
    <w:rsid w:val="009D720D"/>
    <w:rsid w:val="009F708E"/>
    <w:rsid w:val="00A030E7"/>
    <w:rsid w:val="00A0492B"/>
    <w:rsid w:val="00A07A7E"/>
    <w:rsid w:val="00A10FF4"/>
    <w:rsid w:val="00A3044A"/>
    <w:rsid w:val="00A3410D"/>
    <w:rsid w:val="00A346C7"/>
    <w:rsid w:val="00A34B2B"/>
    <w:rsid w:val="00A5523D"/>
    <w:rsid w:val="00A5662B"/>
    <w:rsid w:val="00A60BBA"/>
    <w:rsid w:val="00A64389"/>
    <w:rsid w:val="00A8260B"/>
    <w:rsid w:val="00A8311C"/>
    <w:rsid w:val="00A872B3"/>
    <w:rsid w:val="00A87C89"/>
    <w:rsid w:val="00A9454C"/>
    <w:rsid w:val="00A97993"/>
    <w:rsid w:val="00AB10C6"/>
    <w:rsid w:val="00AD26A7"/>
    <w:rsid w:val="00AD51BD"/>
    <w:rsid w:val="00AD6D9F"/>
    <w:rsid w:val="00AE544E"/>
    <w:rsid w:val="00AF67AD"/>
    <w:rsid w:val="00B041E3"/>
    <w:rsid w:val="00B11C3F"/>
    <w:rsid w:val="00B244DF"/>
    <w:rsid w:val="00B41834"/>
    <w:rsid w:val="00B43535"/>
    <w:rsid w:val="00B44829"/>
    <w:rsid w:val="00B47C76"/>
    <w:rsid w:val="00B568FD"/>
    <w:rsid w:val="00B608EB"/>
    <w:rsid w:val="00B844EC"/>
    <w:rsid w:val="00B925D4"/>
    <w:rsid w:val="00B97D94"/>
    <w:rsid w:val="00BA671C"/>
    <w:rsid w:val="00BA7912"/>
    <w:rsid w:val="00BE5732"/>
    <w:rsid w:val="00BF6047"/>
    <w:rsid w:val="00C01A33"/>
    <w:rsid w:val="00C03D9B"/>
    <w:rsid w:val="00C0474C"/>
    <w:rsid w:val="00C13E7F"/>
    <w:rsid w:val="00C16E03"/>
    <w:rsid w:val="00C20031"/>
    <w:rsid w:val="00C23FB3"/>
    <w:rsid w:val="00C37FA5"/>
    <w:rsid w:val="00C607D0"/>
    <w:rsid w:val="00C9018C"/>
    <w:rsid w:val="00C9058A"/>
    <w:rsid w:val="00C9379F"/>
    <w:rsid w:val="00CC0429"/>
    <w:rsid w:val="00CC2033"/>
    <w:rsid w:val="00CD3948"/>
    <w:rsid w:val="00CF5946"/>
    <w:rsid w:val="00CF63D9"/>
    <w:rsid w:val="00D0244A"/>
    <w:rsid w:val="00D127A1"/>
    <w:rsid w:val="00D34CB4"/>
    <w:rsid w:val="00D447B5"/>
    <w:rsid w:val="00D54C6F"/>
    <w:rsid w:val="00D84F6F"/>
    <w:rsid w:val="00D8722E"/>
    <w:rsid w:val="00D95D64"/>
    <w:rsid w:val="00DA6B04"/>
    <w:rsid w:val="00DB178C"/>
    <w:rsid w:val="00DB75B9"/>
    <w:rsid w:val="00DC424C"/>
    <w:rsid w:val="00DC69A8"/>
    <w:rsid w:val="00DC6D5B"/>
    <w:rsid w:val="00DF284B"/>
    <w:rsid w:val="00E34E5B"/>
    <w:rsid w:val="00E37EBF"/>
    <w:rsid w:val="00E42B27"/>
    <w:rsid w:val="00E50D2D"/>
    <w:rsid w:val="00E51742"/>
    <w:rsid w:val="00E65EEA"/>
    <w:rsid w:val="00E734D4"/>
    <w:rsid w:val="00E8770C"/>
    <w:rsid w:val="00EA7DAC"/>
    <w:rsid w:val="00EB576C"/>
    <w:rsid w:val="00EC7B93"/>
    <w:rsid w:val="00ED172D"/>
    <w:rsid w:val="00ED2DF7"/>
    <w:rsid w:val="00EE72A0"/>
    <w:rsid w:val="00EF23F1"/>
    <w:rsid w:val="00EF75BA"/>
    <w:rsid w:val="00F00AD3"/>
    <w:rsid w:val="00F0797A"/>
    <w:rsid w:val="00F21B7B"/>
    <w:rsid w:val="00F233F9"/>
    <w:rsid w:val="00F337E2"/>
    <w:rsid w:val="00F3543B"/>
    <w:rsid w:val="00F35F4A"/>
    <w:rsid w:val="00F46B3D"/>
    <w:rsid w:val="00F50298"/>
    <w:rsid w:val="00F5755B"/>
    <w:rsid w:val="00F66AA7"/>
    <w:rsid w:val="00F73072"/>
    <w:rsid w:val="00F811FE"/>
    <w:rsid w:val="00F83F7B"/>
    <w:rsid w:val="00FB1F59"/>
    <w:rsid w:val="00FB5099"/>
    <w:rsid w:val="00FC5035"/>
    <w:rsid w:val="00FC7C57"/>
    <w:rsid w:val="00FE1F1B"/>
    <w:rsid w:val="00FF2BBC"/>
    <w:rsid w:val="00FF3C80"/>
    <w:rsid w:val="00FF5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6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567470"/>
    <w:rPr>
      <w:rFonts w:ascii="Tahoma" w:hAnsi="Tahoma" w:cs="Tahoma"/>
      <w:sz w:val="16"/>
      <w:szCs w:val="16"/>
    </w:rPr>
  </w:style>
  <w:style w:type="character" w:styleId="Grietas">
    <w:name w:val="Strong"/>
    <w:qFormat/>
    <w:rsid w:val="000F27F3"/>
    <w:rPr>
      <w:rFonts w:ascii="Times New Roman" w:hAnsi="Times New Roman" w:cs="Times New Roman" w:hint="default"/>
      <w:b/>
      <w:bCs/>
    </w:rPr>
  </w:style>
  <w:style w:type="paragraph" w:styleId="prastasistinklapis">
    <w:name w:val="Normal (Web)"/>
    <w:basedOn w:val="prastasis"/>
    <w:unhideWhenUsed/>
    <w:rsid w:val="000F27F3"/>
    <w:pPr>
      <w:spacing w:before="100" w:beforeAutospacing="1" w:after="100" w:afterAutospacing="1"/>
    </w:pPr>
    <w:rPr>
      <w:rFonts w:eastAsia="Calibri"/>
    </w:rPr>
  </w:style>
  <w:style w:type="paragraph" w:styleId="Antrats">
    <w:name w:val="header"/>
    <w:basedOn w:val="prastasis"/>
    <w:link w:val="AntratsDiagrama"/>
    <w:rsid w:val="00491DC8"/>
    <w:pPr>
      <w:tabs>
        <w:tab w:val="center" w:pos="4819"/>
        <w:tab w:val="right" w:pos="9638"/>
      </w:tabs>
    </w:pPr>
  </w:style>
  <w:style w:type="character" w:customStyle="1" w:styleId="AntratsDiagrama">
    <w:name w:val="Antraštės Diagrama"/>
    <w:link w:val="Antrats"/>
    <w:rsid w:val="00491DC8"/>
    <w:rPr>
      <w:sz w:val="24"/>
      <w:szCs w:val="24"/>
    </w:rPr>
  </w:style>
  <w:style w:type="paragraph" w:styleId="Porat">
    <w:name w:val="footer"/>
    <w:basedOn w:val="prastasis"/>
    <w:link w:val="PoratDiagrama"/>
    <w:rsid w:val="00491DC8"/>
    <w:pPr>
      <w:tabs>
        <w:tab w:val="center" w:pos="4819"/>
        <w:tab w:val="right" w:pos="9638"/>
      </w:tabs>
    </w:pPr>
  </w:style>
  <w:style w:type="character" w:customStyle="1" w:styleId="PoratDiagrama">
    <w:name w:val="Poraštė Diagrama"/>
    <w:link w:val="Porat"/>
    <w:rsid w:val="00491DC8"/>
    <w:rPr>
      <w:sz w:val="24"/>
      <w:szCs w:val="24"/>
    </w:rPr>
  </w:style>
  <w:style w:type="paragraph" w:styleId="Antrinispavadinimas">
    <w:name w:val="Subtitle"/>
    <w:basedOn w:val="prastasis"/>
    <w:next w:val="prastasis"/>
    <w:link w:val="AntrinispavadinimasDiagrama"/>
    <w:qFormat/>
    <w:rsid w:val="00A97993"/>
    <w:pPr>
      <w:spacing w:after="60"/>
      <w:jc w:val="center"/>
      <w:outlineLvl w:val="1"/>
    </w:pPr>
    <w:rPr>
      <w:rFonts w:ascii="Cambria" w:hAnsi="Cambria"/>
    </w:rPr>
  </w:style>
  <w:style w:type="character" w:customStyle="1" w:styleId="AntrinispavadinimasDiagrama">
    <w:name w:val="Antrinis pavadinimas Diagrama"/>
    <w:link w:val="Antrinispavadinimas"/>
    <w:rsid w:val="00A97993"/>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567470"/>
    <w:rPr>
      <w:rFonts w:ascii="Tahoma" w:hAnsi="Tahoma" w:cs="Tahoma"/>
      <w:sz w:val="16"/>
      <w:szCs w:val="16"/>
    </w:rPr>
  </w:style>
  <w:style w:type="character" w:styleId="Grietas">
    <w:name w:val="Strong"/>
    <w:qFormat/>
    <w:rsid w:val="000F27F3"/>
    <w:rPr>
      <w:rFonts w:ascii="Times New Roman" w:hAnsi="Times New Roman" w:cs="Times New Roman" w:hint="default"/>
      <w:b/>
      <w:bCs/>
    </w:rPr>
  </w:style>
  <w:style w:type="paragraph" w:styleId="prastasistinklapis">
    <w:name w:val="Normal (Web)"/>
    <w:basedOn w:val="prastasis"/>
    <w:unhideWhenUsed/>
    <w:rsid w:val="000F27F3"/>
    <w:pPr>
      <w:spacing w:before="100" w:beforeAutospacing="1" w:after="100" w:afterAutospacing="1"/>
    </w:pPr>
    <w:rPr>
      <w:rFonts w:eastAsia="Calibri"/>
    </w:rPr>
  </w:style>
  <w:style w:type="paragraph" w:styleId="Antrats">
    <w:name w:val="header"/>
    <w:basedOn w:val="prastasis"/>
    <w:link w:val="AntratsDiagrama"/>
    <w:rsid w:val="00491DC8"/>
    <w:pPr>
      <w:tabs>
        <w:tab w:val="center" w:pos="4819"/>
        <w:tab w:val="right" w:pos="9638"/>
      </w:tabs>
    </w:pPr>
  </w:style>
  <w:style w:type="character" w:customStyle="1" w:styleId="AntratsDiagrama">
    <w:name w:val="Antraštės Diagrama"/>
    <w:link w:val="Antrats"/>
    <w:rsid w:val="00491DC8"/>
    <w:rPr>
      <w:sz w:val="24"/>
      <w:szCs w:val="24"/>
    </w:rPr>
  </w:style>
  <w:style w:type="paragraph" w:styleId="Porat">
    <w:name w:val="footer"/>
    <w:basedOn w:val="prastasis"/>
    <w:link w:val="PoratDiagrama"/>
    <w:rsid w:val="00491DC8"/>
    <w:pPr>
      <w:tabs>
        <w:tab w:val="center" w:pos="4819"/>
        <w:tab w:val="right" w:pos="9638"/>
      </w:tabs>
    </w:pPr>
  </w:style>
  <w:style w:type="character" w:customStyle="1" w:styleId="PoratDiagrama">
    <w:name w:val="Poraštė Diagrama"/>
    <w:link w:val="Porat"/>
    <w:rsid w:val="00491DC8"/>
    <w:rPr>
      <w:sz w:val="24"/>
      <w:szCs w:val="24"/>
    </w:rPr>
  </w:style>
  <w:style w:type="paragraph" w:styleId="Antrinispavadinimas">
    <w:name w:val="Subtitle"/>
    <w:basedOn w:val="prastasis"/>
    <w:next w:val="prastasis"/>
    <w:link w:val="AntrinispavadinimasDiagrama"/>
    <w:qFormat/>
    <w:rsid w:val="00A97993"/>
    <w:pPr>
      <w:spacing w:after="60"/>
      <w:jc w:val="center"/>
      <w:outlineLvl w:val="1"/>
    </w:pPr>
    <w:rPr>
      <w:rFonts w:ascii="Cambria" w:hAnsi="Cambria"/>
    </w:rPr>
  </w:style>
  <w:style w:type="character" w:customStyle="1" w:styleId="AntrinispavadinimasDiagrama">
    <w:name w:val="Antrinis pavadinimas Diagrama"/>
    <w:link w:val="Antrinispavadinimas"/>
    <w:rsid w:val="00A97993"/>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3C23F-B5C7-442A-9217-6033DA25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2467</Words>
  <Characters>14067</Characters>
  <Application>Microsoft Office Word</Application>
  <DocSecurity>0</DocSecurity>
  <Lines>117</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acer</dc:creator>
  <cp:lastModifiedBy>Jurgita Jurkonyte</cp:lastModifiedBy>
  <cp:revision>2</cp:revision>
  <cp:lastPrinted>2015-05-12T08:39:00Z</cp:lastPrinted>
  <dcterms:created xsi:type="dcterms:W3CDTF">2018-09-14T11:55:00Z</dcterms:created>
  <dcterms:modified xsi:type="dcterms:W3CDTF">2018-09-14T11:55:00Z</dcterms:modified>
</cp:coreProperties>
</file>