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65E" w:rsidRPr="00F8005F" w:rsidRDefault="00E7165E" w:rsidP="00E7165E">
      <w:pPr>
        <w:jc w:val="center"/>
        <w:rPr>
          <w:b/>
          <w:szCs w:val="24"/>
        </w:rPr>
      </w:pPr>
      <w:r w:rsidRPr="00F8005F">
        <w:rPr>
          <w:b/>
          <w:szCs w:val="24"/>
        </w:rPr>
        <w:t>ROKIŠKIO RAJONO SAVIVALDYBĖS</w:t>
      </w:r>
    </w:p>
    <w:p w:rsidR="00E7165E" w:rsidRPr="00F8005F" w:rsidRDefault="00E7165E" w:rsidP="00E7165E">
      <w:pPr>
        <w:jc w:val="center"/>
        <w:rPr>
          <w:b/>
          <w:szCs w:val="24"/>
        </w:rPr>
      </w:pPr>
      <w:r w:rsidRPr="00F8005F">
        <w:rPr>
          <w:b/>
          <w:szCs w:val="24"/>
        </w:rPr>
        <w:t>TEISĖS AKTŲ PROJEKTŲ ANTIKORUPCINIO VERTINIMO PAŽYMA</w:t>
      </w:r>
    </w:p>
    <w:p w:rsidR="00E7165E" w:rsidRPr="00F8005F" w:rsidRDefault="00E7165E" w:rsidP="00E04B47">
      <w:pPr>
        <w:jc w:val="center"/>
        <w:rPr>
          <w:szCs w:val="24"/>
        </w:rPr>
      </w:pPr>
    </w:p>
    <w:p w:rsidR="00E04B47" w:rsidRPr="00F8005F" w:rsidRDefault="00E04B47" w:rsidP="00E04B47">
      <w:pPr>
        <w:jc w:val="center"/>
        <w:rPr>
          <w:b/>
          <w:szCs w:val="24"/>
        </w:rPr>
      </w:pPr>
      <w:r w:rsidRPr="00F8005F">
        <w:rPr>
          <w:b/>
          <w:szCs w:val="24"/>
        </w:rPr>
        <w:t>DĖL ROKIŠKIO RAJONO SAVIVALDYBĖS</w:t>
      </w:r>
      <w:r w:rsidR="00C62D26">
        <w:rPr>
          <w:b/>
          <w:szCs w:val="24"/>
        </w:rPr>
        <w:t xml:space="preserve"> TARYBOS SPRENDIMO</w:t>
      </w:r>
      <w:r w:rsidRPr="00F8005F">
        <w:rPr>
          <w:b/>
          <w:szCs w:val="24"/>
        </w:rPr>
        <w:t xml:space="preserve"> </w:t>
      </w:r>
      <w:r w:rsidR="00C62D26">
        <w:rPr>
          <w:b/>
          <w:szCs w:val="24"/>
        </w:rPr>
        <w:t xml:space="preserve">„DĖL </w:t>
      </w:r>
      <w:r w:rsidRPr="00F8005F">
        <w:rPr>
          <w:b/>
          <w:szCs w:val="24"/>
        </w:rPr>
        <w:t>JUOZO KELIUOČIO VIEŠOSIOS BIBLIOTEKOS TEIKIAMŲ MOKAMŲ PASLAUGŲ SĄRAŠO IR ĮKAINIŲ PATVIRTINIMO</w:t>
      </w:r>
      <w:r w:rsidR="00C62D26">
        <w:rPr>
          <w:b/>
          <w:szCs w:val="24"/>
        </w:rPr>
        <w:t>“ PROJEKTO</w:t>
      </w:r>
      <w:bookmarkStart w:id="0" w:name="_GoBack"/>
      <w:bookmarkEnd w:id="0"/>
      <w:r w:rsidRPr="00F8005F">
        <w:rPr>
          <w:b/>
          <w:szCs w:val="24"/>
        </w:rPr>
        <w:t xml:space="preserve"> </w:t>
      </w:r>
    </w:p>
    <w:p w:rsidR="00E7165E" w:rsidRPr="00F8005F" w:rsidRDefault="00E7165E" w:rsidP="00E04B47">
      <w:pPr>
        <w:jc w:val="center"/>
        <w:rPr>
          <w:szCs w:val="24"/>
          <w:vertAlign w:val="superscript"/>
        </w:rPr>
      </w:pPr>
      <w:r w:rsidRPr="00F8005F">
        <w:rPr>
          <w:szCs w:val="24"/>
          <w:vertAlign w:val="superscript"/>
        </w:rPr>
        <w:t>T</w:t>
      </w:r>
      <w:r w:rsidR="00E04B47" w:rsidRPr="00F8005F">
        <w:rPr>
          <w:szCs w:val="24"/>
          <w:vertAlign w:val="superscript"/>
        </w:rPr>
        <w:t>eisės akto projekto pavadinimas</w:t>
      </w:r>
    </w:p>
    <w:p w:rsidR="00E04B47" w:rsidRPr="00F8005F" w:rsidRDefault="00E04B47" w:rsidP="00E04B47">
      <w:pPr>
        <w:jc w:val="center"/>
        <w:rPr>
          <w:b/>
          <w:szCs w:val="24"/>
        </w:rPr>
      </w:pPr>
      <w:r w:rsidRPr="00F8005F">
        <w:rPr>
          <w:b/>
          <w:szCs w:val="24"/>
        </w:rPr>
        <w:t>IRENA MATELIENĖ</w:t>
      </w:r>
    </w:p>
    <w:p w:rsidR="00E7165E" w:rsidRPr="00F8005F" w:rsidRDefault="00E7165E" w:rsidP="00E04B47">
      <w:pPr>
        <w:jc w:val="center"/>
        <w:rPr>
          <w:szCs w:val="24"/>
          <w:vertAlign w:val="superscript"/>
        </w:rPr>
      </w:pPr>
      <w:r w:rsidRPr="00F8005F">
        <w:rPr>
          <w:szCs w:val="24"/>
          <w:vertAlign w:val="superscript"/>
        </w:rPr>
        <w:t>Teisės akt</w:t>
      </w:r>
      <w:r w:rsidR="00E04B47" w:rsidRPr="00F8005F">
        <w:rPr>
          <w:szCs w:val="24"/>
          <w:vertAlign w:val="superscript"/>
        </w:rPr>
        <w:t>o projekto tiesioginis rengėjas</w:t>
      </w:r>
    </w:p>
    <w:p w:rsidR="00E7165E" w:rsidRPr="00F8005F" w:rsidRDefault="00E7165E" w:rsidP="00E7165E">
      <w:pPr>
        <w:jc w:val="both"/>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4"/>
        <w:gridCol w:w="3976"/>
        <w:gridCol w:w="4396"/>
        <w:gridCol w:w="2835"/>
        <w:gridCol w:w="2974"/>
      </w:tblGrid>
      <w:tr w:rsidR="00E7165E"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sz w:val="22"/>
                <w:szCs w:val="22"/>
              </w:rPr>
            </w:pPr>
            <w:r w:rsidRPr="00F8005F">
              <w:rPr>
                <w:sz w:val="22"/>
                <w:szCs w:val="22"/>
              </w:rPr>
              <w:t>Eil. Nr.</w:t>
            </w:r>
          </w:p>
        </w:tc>
        <w:tc>
          <w:tcPr>
            <w:tcW w:w="3976"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sz w:val="22"/>
                <w:szCs w:val="22"/>
              </w:rPr>
            </w:pPr>
            <w:r w:rsidRPr="00F8005F">
              <w:rPr>
                <w:sz w:val="22"/>
                <w:szCs w:val="22"/>
              </w:rPr>
              <w:t>Kriterijus</w:t>
            </w:r>
          </w:p>
        </w:tc>
        <w:tc>
          <w:tcPr>
            <w:tcW w:w="4396"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b/>
                <w:sz w:val="22"/>
                <w:szCs w:val="22"/>
              </w:rPr>
            </w:pPr>
            <w:r w:rsidRPr="00F8005F">
              <w:rPr>
                <w:sz w:val="22"/>
                <w:szCs w:val="22"/>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sz w:val="22"/>
                <w:szCs w:val="22"/>
              </w:rPr>
            </w:pPr>
            <w:r w:rsidRPr="00F8005F">
              <w:rPr>
                <w:sz w:val="22"/>
                <w:szCs w:val="22"/>
              </w:rPr>
              <w:t>Teisės akto projekto pakeitimas, mažinantis korupcijos riziką, arba teisės akto projekto tiesioginio rengėjo argumentai, kodėl neatsižvelgta į pastabą</w:t>
            </w:r>
          </w:p>
        </w:tc>
        <w:tc>
          <w:tcPr>
            <w:tcW w:w="2974"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sz w:val="22"/>
                <w:szCs w:val="22"/>
              </w:rPr>
            </w:pPr>
            <w:r w:rsidRPr="00F8005F">
              <w:rPr>
                <w:sz w:val="22"/>
                <w:szCs w:val="22"/>
              </w:rPr>
              <w:t>Išvada dėl teisės akto projekto pakeitimų arba argumentų, kodėl neatsižvelgta į pastabą</w:t>
            </w:r>
          </w:p>
        </w:tc>
      </w:tr>
      <w:tr w:rsidR="00E7165E"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tcPr>
          <w:p w:rsidR="00E7165E" w:rsidRPr="00F8005F" w:rsidRDefault="00E7165E" w:rsidP="00944109">
            <w:pPr>
              <w:jc w:val="center"/>
              <w:rPr>
                <w:i/>
                <w:sz w:val="22"/>
                <w:szCs w:val="22"/>
              </w:rPr>
            </w:pPr>
          </w:p>
        </w:tc>
        <w:tc>
          <w:tcPr>
            <w:tcW w:w="3976" w:type="dxa"/>
            <w:tcBorders>
              <w:top w:val="single" w:sz="4" w:space="0" w:color="auto"/>
              <w:left w:val="single" w:sz="4" w:space="0" w:color="auto"/>
              <w:bottom w:val="single" w:sz="4" w:space="0" w:color="auto"/>
              <w:right w:val="single" w:sz="4" w:space="0" w:color="auto"/>
            </w:tcBorders>
          </w:tcPr>
          <w:p w:rsidR="00E7165E" w:rsidRPr="00F8005F" w:rsidRDefault="00E7165E" w:rsidP="00944109">
            <w:pPr>
              <w:rPr>
                <w:i/>
                <w:sz w:val="22"/>
                <w:szCs w:val="22"/>
              </w:rPr>
            </w:pPr>
          </w:p>
        </w:tc>
        <w:tc>
          <w:tcPr>
            <w:tcW w:w="4396"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b/>
                <w:i/>
                <w:sz w:val="22"/>
                <w:szCs w:val="22"/>
              </w:rPr>
            </w:pPr>
            <w:r w:rsidRPr="00F8005F">
              <w:rPr>
                <w:b/>
                <w:i/>
                <w:sz w:val="22"/>
                <w:szCs w:val="22"/>
              </w:rPr>
              <w:t>pildo teisės akto projekto vertintojas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b/>
                <w:i/>
                <w:sz w:val="22"/>
                <w:szCs w:val="22"/>
              </w:rPr>
            </w:pPr>
            <w:r w:rsidRPr="00F8005F">
              <w:rPr>
                <w:b/>
                <w:i/>
                <w:sz w:val="22"/>
                <w:szCs w:val="22"/>
              </w:rPr>
              <w:t>pildo teisės akto projekto tiesioginis rengėjas</w:t>
            </w:r>
          </w:p>
        </w:tc>
        <w:tc>
          <w:tcPr>
            <w:tcW w:w="2974" w:type="dxa"/>
            <w:tcBorders>
              <w:top w:val="single" w:sz="4" w:space="0" w:color="auto"/>
              <w:left w:val="single" w:sz="4" w:space="0" w:color="auto"/>
              <w:bottom w:val="single" w:sz="4" w:space="0" w:color="auto"/>
              <w:right w:val="single" w:sz="4" w:space="0" w:color="auto"/>
            </w:tcBorders>
            <w:vAlign w:val="center"/>
            <w:hideMark/>
          </w:tcPr>
          <w:p w:rsidR="00E7165E" w:rsidRPr="00F8005F" w:rsidRDefault="00E7165E" w:rsidP="00944109">
            <w:pPr>
              <w:jc w:val="center"/>
              <w:rPr>
                <w:b/>
                <w:i/>
                <w:sz w:val="22"/>
                <w:szCs w:val="22"/>
              </w:rPr>
            </w:pPr>
            <w:r w:rsidRPr="00F8005F">
              <w:rPr>
                <w:b/>
                <w:i/>
                <w:sz w:val="22"/>
                <w:szCs w:val="22"/>
              </w:rPr>
              <w:t>pildo teisės akto projekto vertintojas</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projektas nesudaro išskirtinių ar nevienodų sąlygų subjektams, su kuriais susijęs teisės akto įgyvendinimas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sidRPr="00F8005F">
              <w:rPr>
                <w:sz w:val="22"/>
                <w:szCs w:val="22"/>
              </w:rPr>
              <w:t>nesudaro</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2.</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nėra spragų ar nuostatų, leisiančių dviprasmiškai aiškinti ir taikyti teisės aktą</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sidRPr="00F8005F">
              <w:rPr>
                <w:sz w:val="22"/>
                <w:szCs w:val="22"/>
              </w:rPr>
              <w:t>Nėra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3.</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B4301C">
            <w:pPr>
              <w:jc w:val="both"/>
              <w:rPr>
                <w:sz w:val="22"/>
                <w:szCs w:val="22"/>
              </w:rPr>
            </w:pPr>
            <w:r w:rsidRPr="00F8005F">
              <w:rPr>
                <w:sz w:val="22"/>
                <w:szCs w:val="22"/>
              </w:rPr>
              <w:t>LR vietos savivaldos įstatymo 16 straipsnio 2 dalies 37 punktu savivaldybės tarybai nustatyta išimtinė teisė nustatyti biudžetinių įstaigų teikiamų atlygintinų paslaugų kainas ir tarifus.</w:t>
            </w:r>
            <w:r>
              <w:rPr>
                <w:sz w:val="22"/>
                <w:szCs w:val="22"/>
              </w:rPr>
              <w:t xml:space="preserve"> Savivaldybės priimtų sprendimų teisėtumą kontroliuoja Vyriausybės atstovas.</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4.</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nustatyti subjekto įgaliojimai (teisės) atitinka subjekto atliekamas funkcijas (pareigas)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Atitinka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5.</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nustatytas baigtinis sprendimo priėmimo kriterijų (atvejų) sąrašas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Nustatytas</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lastRenderedPageBreak/>
              <w:t>6.</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nustatytas baigtinis sąrašas motyvuotų atvejų, kai priimant sprendimus taikomos išimtys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Išimtys nenustatytos</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7.</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 sprendimų priėmimo, įforminimo tvarka ir priimtų sprendimų viešinimas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B4301C">
            <w:pPr>
              <w:jc w:val="both"/>
              <w:rPr>
                <w:sz w:val="22"/>
                <w:szCs w:val="22"/>
              </w:rPr>
            </w:pPr>
            <w:r>
              <w:rPr>
                <w:sz w:val="22"/>
                <w:szCs w:val="22"/>
              </w:rPr>
              <w:t>Sprendimo priėmimo, įforminimo tvarka, sprendimų viešinimas nustatytas LR Vietos savivaldos įstatyme</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8.</w:t>
            </w:r>
          </w:p>
        </w:tc>
        <w:tc>
          <w:tcPr>
            <w:tcW w:w="3976" w:type="dxa"/>
            <w:tcBorders>
              <w:top w:val="single" w:sz="4" w:space="0" w:color="auto"/>
              <w:left w:val="single" w:sz="4" w:space="0" w:color="auto"/>
              <w:bottom w:val="single" w:sz="4" w:space="0" w:color="auto"/>
              <w:right w:val="single" w:sz="4" w:space="0" w:color="auto"/>
            </w:tcBorders>
            <w:hideMark/>
          </w:tcPr>
          <w:p w:rsidR="00B4301C" w:rsidRPr="00B4301C" w:rsidRDefault="00B4301C" w:rsidP="00944109">
            <w:pPr>
              <w:rPr>
                <w:sz w:val="22"/>
                <w:szCs w:val="22"/>
              </w:rPr>
            </w:pPr>
            <w:r w:rsidRPr="00B4301C">
              <w:rPr>
                <w:sz w:val="22"/>
                <w:szCs w:val="22"/>
              </w:rPr>
              <w:t>Teisės akto projekte nustatyta sprendimų dėl mažareikšmiškumo priėmimo tvarka</w:t>
            </w:r>
          </w:p>
        </w:tc>
        <w:tc>
          <w:tcPr>
            <w:tcW w:w="4396"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rPr>
                <w:sz w:val="22"/>
                <w:szCs w:val="22"/>
              </w:rPr>
            </w:pPr>
            <w:r w:rsidRPr="00B4301C">
              <w:rPr>
                <w:sz w:val="22"/>
                <w:szCs w:val="22"/>
              </w:rPr>
              <w:t xml:space="preserve"> Tokia tvarka nenustatyta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9.</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Jeigu pagal numatomą reguliavimą sprendimus priima kolegialus subjektas, teisės akto projekte nustatyta kolegialaus sprendimus priimančio subjekto:</w:t>
            </w:r>
          </w:p>
          <w:p w:rsidR="00B4301C" w:rsidRPr="00F8005F" w:rsidRDefault="00B4301C" w:rsidP="00944109">
            <w:pPr>
              <w:pStyle w:val="Sraopastraipa1"/>
              <w:ind w:left="33" w:firstLine="0"/>
              <w:rPr>
                <w:rFonts w:ascii="Times New Roman" w:hAnsi="Times New Roman" w:cs="Times New Roman"/>
                <w:sz w:val="22"/>
                <w:szCs w:val="22"/>
              </w:rPr>
            </w:pPr>
            <w:r w:rsidRPr="00F8005F">
              <w:rPr>
                <w:rFonts w:ascii="Times New Roman" w:hAnsi="Times New Roman" w:cs="Times New Roman"/>
                <w:sz w:val="22"/>
                <w:szCs w:val="22"/>
              </w:rPr>
              <w:t>9.1. konkretus narių skaičius, užtikrinantis kolegialaus sprendimus priimančio subjekto veiklos objektyvumą;</w:t>
            </w:r>
          </w:p>
          <w:p w:rsidR="00B4301C" w:rsidRPr="00F8005F" w:rsidRDefault="00B4301C" w:rsidP="00944109">
            <w:pPr>
              <w:pStyle w:val="Sraopastraipa1"/>
              <w:ind w:left="33" w:firstLine="0"/>
              <w:rPr>
                <w:rFonts w:ascii="Times New Roman" w:hAnsi="Times New Roman" w:cs="Times New Roman"/>
                <w:sz w:val="22"/>
                <w:szCs w:val="22"/>
              </w:rPr>
            </w:pPr>
            <w:r w:rsidRPr="00F8005F">
              <w:rPr>
                <w:rFonts w:ascii="Times New Roman" w:hAnsi="Times New Roman" w:cs="Times New Roman"/>
                <w:sz w:val="22"/>
                <w:szCs w:val="22"/>
              </w:rPr>
              <w:t>9.2. jeigu narius skiria keli subjektai, proporcinga kiekvieno subjekto skiriamų narių dalis, užtikrinanti tinkamą atstovavimą valstybės interesams ir kolegialaus sprendimus priimančio subjekto veiklos objektyvumą ir skaidrumą;</w:t>
            </w:r>
          </w:p>
          <w:p w:rsidR="00B4301C" w:rsidRPr="00F8005F" w:rsidRDefault="00B4301C" w:rsidP="00944109">
            <w:pPr>
              <w:rPr>
                <w:sz w:val="22"/>
                <w:szCs w:val="22"/>
              </w:rPr>
            </w:pPr>
            <w:r w:rsidRPr="00F8005F">
              <w:rPr>
                <w:sz w:val="22"/>
                <w:szCs w:val="22"/>
              </w:rPr>
              <w:t>9.3</w:t>
            </w:r>
            <w:r w:rsidRPr="00F8005F">
              <w:rPr>
                <w:spacing w:val="-4"/>
                <w:sz w:val="22"/>
                <w:szCs w:val="22"/>
              </w:rPr>
              <w:t>. narių skyrimo mechanizmas;</w:t>
            </w:r>
          </w:p>
          <w:p w:rsidR="00B4301C" w:rsidRPr="00F8005F" w:rsidRDefault="00B4301C" w:rsidP="00944109">
            <w:pPr>
              <w:rPr>
                <w:sz w:val="22"/>
                <w:szCs w:val="22"/>
              </w:rPr>
            </w:pPr>
            <w:r w:rsidRPr="00F8005F">
              <w:rPr>
                <w:sz w:val="22"/>
                <w:szCs w:val="22"/>
              </w:rPr>
              <w:t>9.4. narių rotacija ir kadencijų skaičius ir trukmė;</w:t>
            </w:r>
          </w:p>
          <w:p w:rsidR="00B4301C" w:rsidRPr="00F8005F" w:rsidRDefault="00B4301C" w:rsidP="00944109">
            <w:pPr>
              <w:pStyle w:val="Sraopastraipa1"/>
              <w:ind w:left="0" w:firstLine="0"/>
              <w:rPr>
                <w:rFonts w:ascii="Times New Roman" w:hAnsi="Times New Roman" w:cs="Times New Roman"/>
                <w:sz w:val="22"/>
                <w:szCs w:val="22"/>
              </w:rPr>
            </w:pPr>
            <w:r w:rsidRPr="00F8005F">
              <w:rPr>
                <w:rFonts w:ascii="Times New Roman" w:hAnsi="Times New Roman" w:cs="Times New Roman"/>
                <w:sz w:val="22"/>
                <w:szCs w:val="22"/>
              </w:rPr>
              <w:t>9.5. veiklos pobūdis laiko atžvilgiu;</w:t>
            </w:r>
          </w:p>
          <w:p w:rsidR="00B4301C" w:rsidRPr="00F8005F" w:rsidRDefault="00B4301C" w:rsidP="00944109">
            <w:pPr>
              <w:rPr>
                <w:sz w:val="22"/>
                <w:szCs w:val="22"/>
              </w:rPr>
            </w:pPr>
            <w:r w:rsidRPr="00F8005F">
              <w:rPr>
                <w:sz w:val="22"/>
                <w:szCs w:val="22"/>
              </w:rPr>
              <w:t>9.6. individuali narių atsakomybė</w:t>
            </w:r>
          </w:p>
        </w:tc>
        <w:tc>
          <w:tcPr>
            <w:tcW w:w="4396"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rPr>
                <w:sz w:val="22"/>
                <w:szCs w:val="22"/>
              </w:rPr>
            </w:pPr>
            <w:r>
              <w:rPr>
                <w:sz w:val="22"/>
                <w:szCs w:val="22"/>
              </w:rPr>
              <w:t>Sprendimus priima savivaldybės taryba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10.</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xml:space="preserve">Teisės akto projekto nuostatoms įgyvendinti numatytos administracinės procedūros yra </w:t>
            </w:r>
            <w:r w:rsidRPr="00F8005F">
              <w:rPr>
                <w:sz w:val="22"/>
                <w:szCs w:val="22"/>
                <w:shd w:val="clear" w:color="auto" w:fill="FFFFFF"/>
              </w:rPr>
              <w:t>būtinos,</w:t>
            </w:r>
            <w:r w:rsidRPr="00F8005F">
              <w:rPr>
                <w:sz w:val="22"/>
                <w:szCs w:val="22"/>
              </w:rPr>
              <w:t xml:space="preserve"> nustatyta išsami jų taikymo tvarka </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Nustatyta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11.</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nustatytas baigtinis sąrašas motyvuotų atvejų, kai administracinė procedūra netaikoma</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B4301C">
            <w:pPr>
              <w:rPr>
                <w:sz w:val="22"/>
                <w:szCs w:val="22"/>
              </w:rPr>
            </w:pPr>
            <w:r>
              <w:rPr>
                <w:sz w:val="22"/>
                <w:szCs w:val="22"/>
              </w:rPr>
              <w:t>Nenustatyta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12.</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projektas nustato jo nuostatoms įgyvendinti numatytų administracinių procedūrų ir sprendimo priėmimo konkrečius terminus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Nenustato</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lastRenderedPageBreak/>
              <w:t>13.</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projektas nustato motyvuotas terminų sustabdymo ir pratęsimo galimybes</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B4301C" w:rsidP="00944109">
            <w:pPr>
              <w:rPr>
                <w:sz w:val="22"/>
                <w:szCs w:val="22"/>
              </w:rPr>
            </w:pPr>
            <w:r>
              <w:rPr>
                <w:sz w:val="22"/>
                <w:szCs w:val="22"/>
              </w:rPr>
              <w:t>Nenumato</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14.</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projektas nustato administracinių procedūrų viešinimo tvarką</w:t>
            </w:r>
          </w:p>
        </w:tc>
        <w:tc>
          <w:tcPr>
            <w:tcW w:w="4396"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rPr>
                <w:sz w:val="22"/>
                <w:szCs w:val="22"/>
              </w:rPr>
            </w:pPr>
            <w:r w:rsidRPr="00B4301C">
              <w:rPr>
                <w:sz w:val="22"/>
                <w:szCs w:val="22"/>
              </w:rPr>
              <w:t>Nenustato</w:t>
            </w:r>
            <w:r>
              <w:rPr>
                <w:sz w:val="22"/>
                <w:szCs w:val="22"/>
              </w:rPr>
              <w:t>, nes visi savivaldybės tarybos sprendimai yra vieši</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15.</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projektas nustato kontrolės (priežiūros) procedūrą ir aiškius jos atlikimo kriterijus (atvejus, dažnį, fiksavimą, kontrolės rezultatų viešinimą ir panašiai)</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99545F" w:rsidP="00944109">
            <w:pPr>
              <w:rPr>
                <w:sz w:val="22"/>
                <w:szCs w:val="22"/>
              </w:rPr>
            </w:pPr>
            <w:r>
              <w:rPr>
                <w:sz w:val="22"/>
                <w:szCs w:val="22"/>
              </w:rPr>
              <w:t>Nenustato</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16.</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nustatytos kontrolės (priežiūros) skaidrumo ir objektyvumo užtikrinimo priemonės</w:t>
            </w:r>
            <w:r w:rsidRPr="00F8005F">
              <w:rPr>
                <w:rStyle w:val="Puslapioinaosnuoroda"/>
                <w:sz w:val="22"/>
                <w:szCs w:val="22"/>
              </w:rPr>
              <w:footnoteReference w:id="1"/>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99545F" w:rsidP="00944109">
            <w:pPr>
              <w:rPr>
                <w:sz w:val="22"/>
                <w:szCs w:val="22"/>
              </w:rPr>
            </w:pPr>
            <w:r>
              <w:rPr>
                <w:sz w:val="22"/>
                <w:szCs w:val="22"/>
              </w:rPr>
              <w:t>Nenumatytos</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17.</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akto projekte nustatyta subjektų, su kuriais susijęs teisės akto projekto nuostatų įgyvendinimas, atsakomybės rūšis (tarnybinė, administracinė, baudžiamoji ir panašiai)</w:t>
            </w:r>
          </w:p>
        </w:tc>
        <w:tc>
          <w:tcPr>
            <w:tcW w:w="4396" w:type="dxa"/>
            <w:tcBorders>
              <w:top w:val="single" w:sz="4" w:space="0" w:color="auto"/>
              <w:left w:val="single" w:sz="4" w:space="0" w:color="auto"/>
              <w:bottom w:val="single" w:sz="4" w:space="0" w:color="auto"/>
              <w:right w:val="single" w:sz="4" w:space="0" w:color="auto"/>
            </w:tcBorders>
          </w:tcPr>
          <w:p w:rsidR="00B4301C" w:rsidRPr="0099545F" w:rsidRDefault="0099545F" w:rsidP="00944109">
            <w:pPr>
              <w:rPr>
                <w:sz w:val="22"/>
                <w:szCs w:val="22"/>
              </w:rPr>
            </w:pPr>
            <w:r w:rsidRPr="0099545F">
              <w:rPr>
                <w:sz w:val="22"/>
                <w:szCs w:val="22"/>
              </w:rPr>
              <w:t>Nenumatyta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18.</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Teisės aktų projekte numatytas baigtinis sąrašas kriterijų, pagal kuriuos skiriama nuobauda (sankcija) už teisės akto projekte nustatytų nurodymų nevykdymą, ir nustatyta aiški jos skyrimo procedūra</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99545F" w:rsidP="00944109">
            <w:pPr>
              <w:rPr>
                <w:sz w:val="22"/>
                <w:szCs w:val="22"/>
              </w:rPr>
            </w:pPr>
            <w:r>
              <w:rPr>
                <w:sz w:val="22"/>
                <w:szCs w:val="22"/>
              </w:rPr>
              <w:t>Nenumatyta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r w:rsidR="00B4301C" w:rsidRPr="00F8005F" w:rsidTr="00F8005F">
        <w:trPr>
          <w:trHeight w:val="23"/>
          <w:tblHeader/>
        </w:trPr>
        <w:tc>
          <w:tcPr>
            <w:tcW w:w="56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jc w:val="center"/>
              <w:rPr>
                <w:sz w:val="22"/>
                <w:szCs w:val="22"/>
              </w:rPr>
            </w:pPr>
            <w:r w:rsidRPr="00F8005F">
              <w:rPr>
                <w:sz w:val="22"/>
                <w:szCs w:val="22"/>
              </w:rPr>
              <w:t>19.</w:t>
            </w:r>
          </w:p>
        </w:tc>
        <w:tc>
          <w:tcPr>
            <w:tcW w:w="3976"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Kiti svarbūs kriterijai</w:t>
            </w:r>
          </w:p>
        </w:tc>
        <w:tc>
          <w:tcPr>
            <w:tcW w:w="4396" w:type="dxa"/>
            <w:tcBorders>
              <w:top w:val="single" w:sz="4" w:space="0" w:color="auto"/>
              <w:left w:val="single" w:sz="4" w:space="0" w:color="auto"/>
              <w:bottom w:val="single" w:sz="4" w:space="0" w:color="auto"/>
              <w:right w:val="single" w:sz="4" w:space="0" w:color="auto"/>
            </w:tcBorders>
          </w:tcPr>
          <w:p w:rsidR="00B4301C" w:rsidRPr="00F8005F" w:rsidRDefault="0099545F" w:rsidP="00944109">
            <w:pPr>
              <w:rPr>
                <w:sz w:val="22"/>
                <w:szCs w:val="22"/>
              </w:rPr>
            </w:pPr>
            <w:r>
              <w:rPr>
                <w:sz w:val="22"/>
                <w:szCs w:val="22"/>
              </w:rPr>
              <w:t>Nėra</w:t>
            </w:r>
          </w:p>
        </w:tc>
        <w:tc>
          <w:tcPr>
            <w:tcW w:w="2835" w:type="dxa"/>
            <w:tcBorders>
              <w:top w:val="single" w:sz="4" w:space="0" w:color="auto"/>
              <w:left w:val="single" w:sz="4" w:space="0" w:color="auto"/>
              <w:bottom w:val="single" w:sz="4" w:space="0" w:color="auto"/>
              <w:right w:val="single" w:sz="4" w:space="0" w:color="auto"/>
            </w:tcBorders>
          </w:tcPr>
          <w:p w:rsidR="00B4301C" w:rsidRPr="00B4301C" w:rsidRDefault="00B4301C" w:rsidP="00944109">
            <w:pPr>
              <w:jc w:val="center"/>
              <w:rPr>
                <w:b/>
                <w:sz w:val="22"/>
                <w:szCs w:val="22"/>
              </w:rPr>
            </w:pPr>
            <w:r w:rsidRPr="00B4301C">
              <w:rPr>
                <w:b/>
                <w:sz w:val="22"/>
                <w:szCs w:val="22"/>
              </w:rPr>
              <w:t>-</w:t>
            </w:r>
          </w:p>
        </w:tc>
        <w:tc>
          <w:tcPr>
            <w:tcW w:w="2974" w:type="dxa"/>
            <w:tcBorders>
              <w:top w:val="single" w:sz="4" w:space="0" w:color="auto"/>
              <w:left w:val="single" w:sz="4" w:space="0" w:color="auto"/>
              <w:bottom w:val="single" w:sz="4" w:space="0" w:color="auto"/>
              <w:right w:val="single" w:sz="4" w:space="0" w:color="auto"/>
            </w:tcBorders>
            <w:hideMark/>
          </w:tcPr>
          <w:p w:rsidR="00B4301C" w:rsidRPr="00F8005F" w:rsidRDefault="00B4301C" w:rsidP="00944109">
            <w:pPr>
              <w:rPr>
                <w:sz w:val="22"/>
                <w:szCs w:val="22"/>
              </w:rPr>
            </w:pPr>
            <w:r w:rsidRPr="00F8005F">
              <w:rPr>
                <w:sz w:val="22"/>
                <w:szCs w:val="22"/>
              </w:rPr>
              <w:t>□ tenkina</w:t>
            </w:r>
          </w:p>
          <w:p w:rsidR="00B4301C" w:rsidRPr="00F8005F" w:rsidRDefault="00B4301C" w:rsidP="00944109">
            <w:pPr>
              <w:rPr>
                <w:sz w:val="22"/>
                <w:szCs w:val="22"/>
              </w:rPr>
            </w:pPr>
            <w:r w:rsidRPr="00F8005F">
              <w:rPr>
                <w:sz w:val="22"/>
                <w:szCs w:val="22"/>
              </w:rPr>
              <w:t>□ netenkina</w:t>
            </w:r>
          </w:p>
        </w:tc>
      </w:tr>
    </w:tbl>
    <w:p w:rsidR="00E7165E" w:rsidRPr="00F8005F" w:rsidRDefault="00E7165E" w:rsidP="00E7165E">
      <w:pPr>
        <w:pStyle w:val="Antrats"/>
        <w:tabs>
          <w:tab w:val="left" w:pos="6237"/>
        </w:tabs>
        <w:rPr>
          <w:color w:val="000000"/>
          <w:sz w:val="22"/>
          <w:szCs w:val="22"/>
          <w:lang w:eastAsia="lt-LT"/>
        </w:rPr>
      </w:pPr>
    </w:p>
    <w:tbl>
      <w:tblPr>
        <w:tblW w:w="9630" w:type="dxa"/>
        <w:tblLayout w:type="fixed"/>
        <w:tblCellMar>
          <w:left w:w="0" w:type="dxa"/>
          <w:right w:w="0" w:type="dxa"/>
        </w:tblCellMar>
        <w:tblLook w:val="00A0" w:firstRow="1" w:lastRow="0" w:firstColumn="1" w:lastColumn="0" w:noHBand="0" w:noVBand="0"/>
      </w:tblPr>
      <w:tblGrid>
        <w:gridCol w:w="1862"/>
        <w:gridCol w:w="2924"/>
        <w:gridCol w:w="1853"/>
        <w:gridCol w:w="2991"/>
      </w:tblGrid>
      <w:tr w:rsidR="00E7165E" w:rsidRPr="00F8005F" w:rsidTr="00944109">
        <w:trPr>
          <w:trHeight w:val="23"/>
        </w:trPr>
        <w:tc>
          <w:tcPr>
            <w:tcW w:w="1885" w:type="dxa"/>
            <w:hideMark/>
          </w:tcPr>
          <w:p w:rsidR="00E7165E" w:rsidRPr="00F8005F" w:rsidRDefault="00E7165E" w:rsidP="00944109">
            <w:pPr>
              <w:rPr>
                <w:sz w:val="22"/>
                <w:szCs w:val="22"/>
              </w:rPr>
            </w:pPr>
            <w:r w:rsidRPr="00F8005F">
              <w:rPr>
                <w:sz w:val="22"/>
                <w:szCs w:val="22"/>
              </w:rPr>
              <w:t>Teisės akto projekto tiesioginis rengėjas:</w:t>
            </w:r>
          </w:p>
        </w:tc>
        <w:tc>
          <w:tcPr>
            <w:tcW w:w="2960" w:type="dxa"/>
            <w:tcBorders>
              <w:top w:val="nil"/>
              <w:left w:val="nil"/>
              <w:bottom w:val="single" w:sz="4" w:space="0" w:color="auto"/>
              <w:right w:val="nil"/>
            </w:tcBorders>
          </w:tcPr>
          <w:p w:rsidR="00E7165E" w:rsidRDefault="0099545F" w:rsidP="00944109">
            <w:pPr>
              <w:rPr>
                <w:sz w:val="22"/>
                <w:szCs w:val="22"/>
              </w:rPr>
            </w:pPr>
            <w:r>
              <w:rPr>
                <w:sz w:val="22"/>
                <w:szCs w:val="22"/>
              </w:rPr>
              <w:t>Švietimo, kultūros ir sporto skyriaus vyriausioji specialistė</w:t>
            </w:r>
          </w:p>
          <w:p w:rsidR="00E7165E" w:rsidRPr="0099545F" w:rsidRDefault="0099545F" w:rsidP="0099545F">
            <w:pPr>
              <w:rPr>
                <w:sz w:val="22"/>
                <w:szCs w:val="22"/>
                <w:u w:val="single"/>
              </w:rPr>
            </w:pPr>
            <w:r>
              <w:rPr>
                <w:sz w:val="22"/>
                <w:szCs w:val="22"/>
              </w:rPr>
              <w:t xml:space="preserve">Irena </w:t>
            </w:r>
            <w:proofErr w:type="spellStart"/>
            <w:r>
              <w:rPr>
                <w:sz w:val="22"/>
                <w:szCs w:val="22"/>
              </w:rPr>
              <w:t>Matelienė</w:t>
            </w:r>
            <w:proofErr w:type="spellEnd"/>
          </w:p>
        </w:tc>
        <w:tc>
          <w:tcPr>
            <w:tcW w:w="1875" w:type="dxa"/>
            <w:hideMark/>
          </w:tcPr>
          <w:p w:rsidR="00E7165E" w:rsidRPr="00F8005F" w:rsidRDefault="00E7165E" w:rsidP="00944109">
            <w:pPr>
              <w:rPr>
                <w:sz w:val="22"/>
                <w:szCs w:val="22"/>
              </w:rPr>
            </w:pPr>
            <w:r w:rsidRPr="00F8005F">
              <w:rPr>
                <w:sz w:val="22"/>
                <w:szCs w:val="22"/>
              </w:rPr>
              <w:t>Teisės akto projekto vertintojas:</w:t>
            </w:r>
          </w:p>
        </w:tc>
        <w:tc>
          <w:tcPr>
            <w:tcW w:w="3027" w:type="dxa"/>
            <w:tcBorders>
              <w:top w:val="nil"/>
              <w:left w:val="nil"/>
              <w:bottom w:val="single" w:sz="4" w:space="0" w:color="auto"/>
              <w:right w:val="nil"/>
            </w:tcBorders>
          </w:tcPr>
          <w:p w:rsidR="00E7165E" w:rsidRDefault="0099545F" w:rsidP="00944109">
            <w:pPr>
              <w:rPr>
                <w:sz w:val="22"/>
                <w:szCs w:val="22"/>
              </w:rPr>
            </w:pPr>
            <w:r>
              <w:rPr>
                <w:sz w:val="22"/>
                <w:szCs w:val="22"/>
              </w:rPr>
              <w:t xml:space="preserve">Juridinio ir personalo skyriaus vedėja </w:t>
            </w:r>
          </w:p>
          <w:p w:rsidR="0099545F" w:rsidRPr="00F8005F" w:rsidRDefault="0099545F" w:rsidP="00944109">
            <w:pPr>
              <w:rPr>
                <w:sz w:val="22"/>
                <w:szCs w:val="22"/>
              </w:rPr>
            </w:pPr>
            <w:r>
              <w:rPr>
                <w:sz w:val="22"/>
                <w:szCs w:val="22"/>
              </w:rPr>
              <w:t xml:space="preserve">Regina </w:t>
            </w:r>
            <w:proofErr w:type="spellStart"/>
            <w:r>
              <w:rPr>
                <w:sz w:val="22"/>
                <w:szCs w:val="22"/>
              </w:rPr>
              <w:t>Strumskienė</w:t>
            </w:r>
            <w:proofErr w:type="spellEnd"/>
          </w:p>
        </w:tc>
      </w:tr>
      <w:tr w:rsidR="00E7165E" w:rsidRPr="00F8005F" w:rsidTr="00944109">
        <w:trPr>
          <w:trHeight w:val="23"/>
        </w:trPr>
        <w:tc>
          <w:tcPr>
            <w:tcW w:w="1885" w:type="dxa"/>
          </w:tcPr>
          <w:p w:rsidR="00E7165E" w:rsidRPr="00F8005F" w:rsidRDefault="00E7165E" w:rsidP="00944109">
            <w:pPr>
              <w:rPr>
                <w:sz w:val="22"/>
                <w:szCs w:val="22"/>
              </w:rPr>
            </w:pPr>
          </w:p>
        </w:tc>
        <w:tc>
          <w:tcPr>
            <w:tcW w:w="2960" w:type="dxa"/>
            <w:tcBorders>
              <w:top w:val="single" w:sz="4" w:space="0" w:color="auto"/>
              <w:left w:val="nil"/>
              <w:bottom w:val="nil"/>
              <w:right w:val="nil"/>
            </w:tcBorders>
            <w:hideMark/>
          </w:tcPr>
          <w:p w:rsidR="00E7165E" w:rsidRPr="00F8005F" w:rsidRDefault="00E7165E" w:rsidP="00944109">
            <w:pPr>
              <w:ind w:left="-11"/>
              <w:rPr>
                <w:sz w:val="22"/>
                <w:szCs w:val="22"/>
              </w:rPr>
            </w:pPr>
            <w:r w:rsidRPr="00F8005F">
              <w:rPr>
                <w:sz w:val="22"/>
                <w:szCs w:val="22"/>
              </w:rPr>
              <w:t>(pareigos) (vardas ir pavardė)</w:t>
            </w:r>
          </w:p>
        </w:tc>
        <w:tc>
          <w:tcPr>
            <w:tcW w:w="1875" w:type="dxa"/>
          </w:tcPr>
          <w:p w:rsidR="00E7165E" w:rsidRPr="00F8005F" w:rsidRDefault="00E7165E" w:rsidP="00944109">
            <w:pPr>
              <w:rPr>
                <w:sz w:val="22"/>
                <w:szCs w:val="22"/>
              </w:rPr>
            </w:pPr>
          </w:p>
        </w:tc>
        <w:tc>
          <w:tcPr>
            <w:tcW w:w="3027" w:type="dxa"/>
            <w:tcBorders>
              <w:top w:val="single" w:sz="4" w:space="0" w:color="auto"/>
              <w:left w:val="nil"/>
              <w:bottom w:val="nil"/>
              <w:right w:val="nil"/>
            </w:tcBorders>
            <w:hideMark/>
          </w:tcPr>
          <w:p w:rsidR="00E7165E" w:rsidRPr="00F8005F" w:rsidRDefault="00E7165E" w:rsidP="00944109">
            <w:pPr>
              <w:ind w:left="-11"/>
              <w:rPr>
                <w:sz w:val="22"/>
                <w:szCs w:val="22"/>
              </w:rPr>
            </w:pPr>
            <w:r w:rsidRPr="00F8005F">
              <w:rPr>
                <w:sz w:val="22"/>
                <w:szCs w:val="22"/>
              </w:rPr>
              <w:t>(pareigos) (vardas ir pavardė)</w:t>
            </w:r>
          </w:p>
        </w:tc>
      </w:tr>
      <w:tr w:rsidR="00E7165E" w:rsidRPr="00F8005F" w:rsidTr="00944109">
        <w:trPr>
          <w:trHeight w:val="23"/>
        </w:trPr>
        <w:tc>
          <w:tcPr>
            <w:tcW w:w="1885" w:type="dxa"/>
          </w:tcPr>
          <w:p w:rsidR="00E7165E" w:rsidRPr="00F8005F" w:rsidRDefault="00E7165E" w:rsidP="00944109">
            <w:pPr>
              <w:rPr>
                <w:sz w:val="22"/>
                <w:szCs w:val="22"/>
              </w:rPr>
            </w:pPr>
          </w:p>
        </w:tc>
        <w:tc>
          <w:tcPr>
            <w:tcW w:w="2960" w:type="dxa"/>
            <w:tcBorders>
              <w:top w:val="nil"/>
              <w:left w:val="nil"/>
              <w:bottom w:val="single" w:sz="4" w:space="0" w:color="auto"/>
              <w:right w:val="nil"/>
            </w:tcBorders>
          </w:tcPr>
          <w:p w:rsidR="00E7165E" w:rsidRPr="00F8005F" w:rsidRDefault="00E7165E" w:rsidP="00944109">
            <w:pPr>
              <w:rPr>
                <w:sz w:val="22"/>
                <w:szCs w:val="22"/>
              </w:rPr>
            </w:pPr>
          </w:p>
        </w:tc>
        <w:tc>
          <w:tcPr>
            <w:tcW w:w="1875" w:type="dxa"/>
          </w:tcPr>
          <w:p w:rsidR="00E7165E" w:rsidRPr="00F8005F" w:rsidRDefault="00E7165E" w:rsidP="00944109">
            <w:pPr>
              <w:rPr>
                <w:sz w:val="22"/>
                <w:szCs w:val="22"/>
              </w:rPr>
            </w:pPr>
          </w:p>
        </w:tc>
        <w:tc>
          <w:tcPr>
            <w:tcW w:w="3027" w:type="dxa"/>
            <w:tcBorders>
              <w:top w:val="nil"/>
              <w:left w:val="nil"/>
              <w:bottom w:val="single" w:sz="4" w:space="0" w:color="auto"/>
              <w:right w:val="nil"/>
            </w:tcBorders>
          </w:tcPr>
          <w:p w:rsidR="00E7165E" w:rsidRPr="00F8005F" w:rsidRDefault="00E7165E" w:rsidP="00944109">
            <w:pPr>
              <w:ind w:left="-11"/>
              <w:rPr>
                <w:sz w:val="22"/>
                <w:szCs w:val="22"/>
              </w:rPr>
            </w:pPr>
          </w:p>
        </w:tc>
      </w:tr>
      <w:tr w:rsidR="00E7165E" w:rsidRPr="00F8005F" w:rsidTr="00944109">
        <w:trPr>
          <w:trHeight w:val="23"/>
        </w:trPr>
        <w:tc>
          <w:tcPr>
            <w:tcW w:w="1885" w:type="dxa"/>
          </w:tcPr>
          <w:p w:rsidR="00E7165E" w:rsidRPr="00F8005F" w:rsidRDefault="00E7165E" w:rsidP="00944109">
            <w:pPr>
              <w:rPr>
                <w:sz w:val="22"/>
                <w:szCs w:val="22"/>
              </w:rPr>
            </w:pPr>
          </w:p>
        </w:tc>
        <w:tc>
          <w:tcPr>
            <w:tcW w:w="2960" w:type="dxa"/>
            <w:hideMark/>
          </w:tcPr>
          <w:p w:rsidR="00E7165E" w:rsidRPr="00F8005F" w:rsidRDefault="00E7165E" w:rsidP="00944109">
            <w:pPr>
              <w:ind w:left="-11"/>
              <w:rPr>
                <w:sz w:val="22"/>
                <w:szCs w:val="22"/>
              </w:rPr>
            </w:pPr>
            <w:r w:rsidRPr="00F8005F">
              <w:rPr>
                <w:sz w:val="22"/>
                <w:szCs w:val="22"/>
              </w:rPr>
              <w:t>(parašas) (data)</w:t>
            </w:r>
          </w:p>
        </w:tc>
        <w:tc>
          <w:tcPr>
            <w:tcW w:w="1875" w:type="dxa"/>
          </w:tcPr>
          <w:p w:rsidR="00E7165E" w:rsidRPr="00F8005F" w:rsidRDefault="00E7165E" w:rsidP="00944109">
            <w:pPr>
              <w:rPr>
                <w:sz w:val="22"/>
                <w:szCs w:val="22"/>
              </w:rPr>
            </w:pPr>
          </w:p>
        </w:tc>
        <w:tc>
          <w:tcPr>
            <w:tcW w:w="3027" w:type="dxa"/>
            <w:tcBorders>
              <w:top w:val="single" w:sz="4" w:space="0" w:color="auto"/>
              <w:left w:val="nil"/>
              <w:bottom w:val="nil"/>
              <w:right w:val="nil"/>
            </w:tcBorders>
            <w:hideMark/>
          </w:tcPr>
          <w:p w:rsidR="00E7165E" w:rsidRPr="00F8005F" w:rsidRDefault="00E7165E" w:rsidP="00944109">
            <w:pPr>
              <w:ind w:left="-11"/>
              <w:rPr>
                <w:sz w:val="22"/>
                <w:szCs w:val="22"/>
              </w:rPr>
            </w:pPr>
            <w:r w:rsidRPr="00F8005F">
              <w:rPr>
                <w:sz w:val="22"/>
                <w:szCs w:val="22"/>
              </w:rPr>
              <w:t xml:space="preserve"> (parašas) (data)</w:t>
            </w:r>
          </w:p>
        </w:tc>
      </w:tr>
    </w:tbl>
    <w:p w:rsidR="00E7165E" w:rsidRPr="00F8005F" w:rsidRDefault="00E7165E" w:rsidP="00E7165E">
      <w:pPr>
        <w:tabs>
          <w:tab w:val="left" w:pos="6237"/>
          <w:tab w:val="right" w:pos="8306"/>
        </w:tabs>
        <w:jc w:val="center"/>
        <w:rPr>
          <w:sz w:val="22"/>
          <w:szCs w:val="22"/>
          <w:lang w:eastAsia="lt-LT"/>
        </w:rPr>
      </w:pPr>
      <w:r w:rsidRPr="00F8005F">
        <w:rPr>
          <w:sz w:val="22"/>
          <w:szCs w:val="22"/>
          <w:lang w:eastAsia="lt-LT"/>
        </w:rPr>
        <w:t>______________</w:t>
      </w:r>
    </w:p>
    <w:sectPr w:rsidR="00E7165E" w:rsidRPr="00F8005F" w:rsidSect="00F8005F">
      <w:headerReference w:type="even" r:id="rId8"/>
      <w:footerReference w:type="even" r:id="rId9"/>
      <w:footerReference w:type="default" r:id="rId10"/>
      <w:headerReference w:type="first" r:id="rId11"/>
      <w:footerReference w:type="first" r:id="rId12"/>
      <w:pgSz w:w="16837" w:h="11905" w:orient="landscape"/>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C9" w:rsidRDefault="00BD04C9">
      <w:pPr>
        <w:suppressAutoHyphens/>
        <w:rPr>
          <w:sz w:val="20"/>
          <w:lang w:eastAsia="ar-SA"/>
        </w:rPr>
      </w:pPr>
      <w:r>
        <w:rPr>
          <w:sz w:val="20"/>
          <w:lang w:eastAsia="ar-SA"/>
        </w:rPr>
        <w:separator/>
      </w:r>
    </w:p>
  </w:endnote>
  <w:endnote w:type="continuationSeparator" w:id="0">
    <w:p w:rsidR="00BD04C9" w:rsidRDefault="00BD04C9">
      <w:pPr>
        <w:suppressAutoHyphens/>
        <w:rPr>
          <w:sz w:val="20"/>
          <w:lang w:eastAsia="ar-SA"/>
        </w:rPr>
      </w:pPr>
      <w:r>
        <w:rPr>
          <w:sz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EC" w:rsidRDefault="00B117EC">
    <w:pPr>
      <w:tabs>
        <w:tab w:val="center" w:pos="4819"/>
        <w:tab w:val="right" w:pos="9638"/>
      </w:tabs>
      <w:suppressAutoHyphens/>
      <w:rPr>
        <w:sz w:val="20"/>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EC" w:rsidRDefault="00B117EC">
    <w:pPr>
      <w:tabs>
        <w:tab w:val="center" w:pos="4819"/>
        <w:tab w:val="right" w:pos="9638"/>
      </w:tabs>
      <w:suppressAutoHyphens/>
      <w:rPr>
        <w:sz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EC" w:rsidRDefault="00B117EC">
    <w:pPr>
      <w:tabs>
        <w:tab w:val="center" w:pos="4819"/>
        <w:tab w:val="right" w:pos="9638"/>
      </w:tabs>
      <w:suppressAutoHyphens/>
      <w:rPr>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C9" w:rsidRDefault="00BD04C9">
      <w:pPr>
        <w:suppressAutoHyphens/>
        <w:rPr>
          <w:sz w:val="20"/>
          <w:lang w:eastAsia="ar-SA"/>
        </w:rPr>
      </w:pPr>
      <w:r>
        <w:rPr>
          <w:sz w:val="20"/>
          <w:lang w:eastAsia="ar-SA"/>
        </w:rPr>
        <w:separator/>
      </w:r>
    </w:p>
  </w:footnote>
  <w:footnote w:type="continuationSeparator" w:id="0">
    <w:p w:rsidR="00BD04C9" w:rsidRDefault="00BD04C9">
      <w:pPr>
        <w:suppressAutoHyphens/>
        <w:rPr>
          <w:sz w:val="20"/>
          <w:lang w:eastAsia="ar-SA"/>
        </w:rPr>
      </w:pPr>
      <w:r>
        <w:rPr>
          <w:sz w:val="20"/>
          <w:lang w:eastAsia="ar-SA"/>
        </w:rPr>
        <w:continuationSeparator/>
      </w:r>
    </w:p>
  </w:footnote>
  <w:footnote w:id="1">
    <w:p w:rsidR="00B4301C" w:rsidRDefault="00B4301C" w:rsidP="00E7165E">
      <w:pPr>
        <w:pStyle w:val="Puslapioinaostekstas"/>
        <w:jc w:val="both"/>
      </w:pPr>
      <w:r>
        <w:rPr>
          <w:rStyle w:val="Puslapioinaosnuoroda"/>
        </w:rPr>
        <w:footnoteRef/>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EC" w:rsidRDefault="00B117EC">
    <w:pPr>
      <w:tabs>
        <w:tab w:val="center" w:pos="4320"/>
        <w:tab w:val="right" w:pos="8640"/>
      </w:tabs>
      <w:suppressAutoHyphens/>
      <w:rPr>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EC" w:rsidRDefault="00B117EC">
    <w:pPr>
      <w:tabs>
        <w:tab w:val="center" w:pos="4320"/>
        <w:tab w:val="right" w:pos="8640"/>
      </w:tabs>
      <w:suppressAutoHyphens/>
      <w:rPr>
        <w:sz w:val="20"/>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396"/>
  <w:doNotHyphenateCaps/>
  <w:defaultTableStyle w:val="prastasi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87"/>
    <w:rsid w:val="0012786F"/>
    <w:rsid w:val="006D1B87"/>
    <w:rsid w:val="0084750D"/>
    <w:rsid w:val="0099545F"/>
    <w:rsid w:val="009A0864"/>
    <w:rsid w:val="00B117EC"/>
    <w:rsid w:val="00B4301C"/>
    <w:rsid w:val="00BD04C9"/>
    <w:rsid w:val="00C37B74"/>
    <w:rsid w:val="00C62D26"/>
    <w:rsid w:val="00E04B47"/>
    <w:rsid w:val="00E7165E"/>
    <w:rsid w:val="00F80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pPr>
      <w:tabs>
        <w:tab w:val="center" w:pos="4819"/>
        <w:tab w:val="right" w:pos="9638"/>
      </w:tabs>
    </w:pPr>
  </w:style>
  <w:style w:type="character" w:customStyle="1" w:styleId="AntratsDiagrama">
    <w:name w:val="Antraštės Diagrama"/>
    <w:aliases w:val="Char Diagrama,Diagrama Diagrama"/>
    <w:basedOn w:val="Numatytasispastraiposriftas"/>
    <w:link w:val="Antrats"/>
  </w:style>
  <w:style w:type="paragraph" w:styleId="Debesliotekstas">
    <w:name w:val="Balloon Text"/>
    <w:basedOn w:val="prastasis"/>
    <w:link w:val="DebesliotekstasDiagrama"/>
    <w:rsid w:val="00C37B74"/>
    <w:rPr>
      <w:rFonts w:ascii="Tahoma" w:hAnsi="Tahoma" w:cs="Tahoma"/>
      <w:sz w:val="16"/>
      <w:szCs w:val="16"/>
    </w:rPr>
  </w:style>
  <w:style w:type="character" w:customStyle="1" w:styleId="DebesliotekstasDiagrama">
    <w:name w:val="Debesėlio tekstas Diagrama"/>
    <w:basedOn w:val="Numatytasispastraiposriftas"/>
    <w:link w:val="Debesliotekstas"/>
    <w:rsid w:val="00C37B74"/>
    <w:rPr>
      <w:rFonts w:ascii="Tahoma" w:hAnsi="Tahoma" w:cs="Tahoma"/>
      <w:sz w:val="16"/>
      <w:szCs w:val="16"/>
    </w:rPr>
  </w:style>
  <w:style w:type="paragraph" w:styleId="Puslapioinaostekstas">
    <w:name w:val="footnote text"/>
    <w:basedOn w:val="prastasis"/>
    <w:link w:val="PuslapioinaostekstasDiagrama"/>
    <w:unhideWhenUsed/>
    <w:rsid w:val="00E7165E"/>
    <w:pPr>
      <w:ind w:firstLine="720"/>
    </w:pPr>
    <w:rPr>
      <w:sz w:val="20"/>
    </w:rPr>
  </w:style>
  <w:style w:type="character" w:customStyle="1" w:styleId="PuslapioinaostekstasDiagrama">
    <w:name w:val="Puslapio išnašos tekstas Diagrama"/>
    <w:basedOn w:val="Numatytasispastraiposriftas"/>
    <w:link w:val="Puslapioinaostekstas"/>
    <w:rsid w:val="00E7165E"/>
    <w:rPr>
      <w:sz w:val="20"/>
    </w:rPr>
  </w:style>
  <w:style w:type="paragraph" w:styleId="Pagrindiniotekstotrauka">
    <w:name w:val="Body Text Indent"/>
    <w:basedOn w:val="prastasis"/>
    <w:link w:val="PagrindiniotekstotraukaDiagrama"/>
    <w:unhideWhenUsed/>
    <w:rsid w:val="00E7165E"/>
    <w:pPr>
      <w:suppressAutoHyphens/>
      <w:spacing w:after="120"/>
      <w:ind w:left="283"/>
    </w:pPr>
    <w:rPr>
      <w:sz w:val="20"/>
      <w:lang w:val="en-AU" w:eastAsia="ar-SA"/>
    </w:rPr>
  </w:style>
  <w:style w:type="character" w:customStyle="1" w:styleId="PagrindiniotekstotraukaDiagrama">
    <w:name w:val="Pagrindinio teksto įtrauka Diagrama"/>
    <w:basedOn w:val="Numatytasispastraiposriftas"/>
    <w:link w:val="Pagrindiniotekstotrauka"/>
    <w:rsid w:val="00E7165E"/>
    <w:rPr>
      <w:sz w:val="20"/>
      <w:lang w:val="en-AU" w:eastAsia="ar-SA"/>
    </w:rPr>
  </w:style>
  <w:style w:type="paragraph" w:customStyle="1" w:styleId="Sraopastraipa1">
    <w:name w:val="Sąrašo pastraipa1"/>
    <w:basedOn w:val="prastasis"/>
    <w:rsid w:val="00E7165E"/>
    <w:pPr>
      <w:ind w:left="720" w:firstLine="720"/>
      <w:contextualSpacing/>
    </w:pPr>
    <w:rPr>
      <w:rFonts w:ascii="Arial" w:hAnsi="Arial" w:cs="Arial"/>
      <w:sz w:val="20"/>
    </w:rPr>
  </w:style>
  <w:style w:type="character" w:styleId="Puslapioinaosnuoroda">
    <w:name w:val="footnote reference"/>
    <w:unhideWhenUsed/>
    <w:rsid w:val="00E7165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aliases w:val="Char,Diagrama"/>
    <w:basedOn w:val="prastasis"/>
    <w:link w:val="AntratsDiagrama"/>
    <w:pPr>
      <w:tabs>
        <w:tab w:val="center" w:pos="4819"/>
        <w:tab w:val="right" w:pos="9638"/>
      </w:tabs>
    </w:pPr>
  </w:style>
  <w:style w:type="character" w:customStyle="1" w:styleId="AntratsDiagrama">
    <w:name w:val="Antraštės Diagrama"/>
    <w:aliases w:val="Char Diagrama,Diagrama Diagrama"/>
    <w:basedOn w:val="Numatytasispastraiposriftas"/>
    <w:link w:val="Antrats"/>
  </w:style>
  <w:style w:type="paragraph" w:styleId="Debesliotekstas">
    <w:name w:val="Balloon Text"/>
    <w:basedOn w:val="prastasis"/>
    <w:link w:val="DebesliotekstasDiagrama"/>
    <w:rsid w:val="00C37B74"/>
    <w:rPr>
      <w:rFonts w:ascii="Tahoma" w:hAnsi="Tahoma" w:cs="Tahoma"/>
      <w:sz w:val="16"/>
      <w:szCs w:val="16"/>
    </w:rPr>
  </w:style>
  <w:style w:type="character" w:customStyle="1" w:styleId="DebesliotekstasDiagrama">
    <w:name w:val="Debesėlio tekstas Diagrama"/>
    <w:basedOn w:val="Numatytasispastraiposriftas"/>
    <w:link w:val="Debesliotekstas"/>
    <w:rsid w:val="00C37B74"/>
    <w:rPr>
      <w:rFonts w:ascii="Tahoma" w:hAnsi="Tahoma" w:cs="Tahoma"/>
      <w:sz w:val="16"/>
      <w:szCs w:val="16"/>
    </w:rPr>
  </w:style>
  <w:style w:type="paragraph" w:styleId="Puslapioinaostekstas">
    <w:name w:val="footnote text"/>
    <w:basedOn w:val="prastasis"/>
    <w:link w:val="PuslapioinaostekstasDiagrama"/>
    <w:unhideWhenUsed/>
    <w:rsid w:val="00E7165E"/>
    <w:pPr>
      <w:ind w:firstLine="720"/>
    </w:pPr>
    <w:rPr>
      <w:sz w:val="20"/>
    </w:rPr>
  </w:style>
  <w:style w:type="character" w:customStyle="1" w:styleId="PuslapioinaostekstasDiagrama">
    <w:name w:val="Puslapio išnašos tekstas Diagrama"/>
    <w:basedOn w:val="Numatytasispastraiposriftas"/>
    <w:link w:val="Puslapioinaostekstas"/>
    <w:rsid w:val="00E7165E"/>
    <w:rPr>
      <w:sz w:val="20"/>
    </w:rPr>
  </w:style>
  <w:style w:type="paragraph" w:styleId="Pagrindiniotekstotrauka">
    <w:name w:val="Body Text Indent"/>
    <w:basedOn w:val="prastasis"/>
    <w:link w:val="PagrindiniotekstotraukaDiagrama"/>
    <w:unhideWhenUsed/>
    <w:rsid w:val="00E7165E"/>
    <w:pPr>
      <w:suppressAutoHyphens/>
      <w:spacing w:after="120"/>
      <w:ind w:left="283"/>
    </w:pPr>
    <w:rPr>
      <w:sz w:val="20"/>
      <w:lang w:val="en-AU" w:eastAsia="ar-SA"/>
    </w:rPr>
  </w:style>
  <w:style w:type="character" w:customStyle="1" w:styleId="PagrindiniotekstotraukaDiagrama">
    <w:name w:val="Pagrindinio teksto įtrauka Diagrama"/>
    <w:basedOn w:val="Numatytasispastraiposriftas"/>
    <w:link w:val="Pagrindiniotekstotrauka"/>
    <w:rsid w:val="00E7165E"/>
    <w:rPr>
      <w:sz w:val="20"/>
      <w:lang w:val="en-AU" w:eastAsia="ar-SA"/>
    </w:rPr>
  </w:style>
  <w:style w:type="paragraph" w:customStyle="1" w:styleId="Sraopastraipa1">
    <w:name w:val="Sąrašo pastraipa1"/>
    <w:basedOn w:val="prastasis"/>
    <w:rsid w:val="00E7165E"/>
    <w:pPr>
      <w:ind w:left="720" w:firstLine="720"/>
      <w:contextualSpacing/>
    </w:pPr>
    <w:rPr>
      <w:rFonts w:ascii="Arial" w:hAnsi="Arial" w:cs="Arial"/>
      <w:sz w:val="20"/>
    </w:rPr>
  </w:style>
  <w:style w:type="character" w:styleId="Puslapioinaosnuoroda">
    <w:name w:val="footnote reference"/>
    <w:unhideWhenUsed/>
    <w:rsid w:val="00E7165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3299">
      <w:bodyDiv w:val="1"/>
      <w:marLeft w:val="0"/>
      <w:marRight w:val="0"/>
      <w:marTop w:val="0"/>
      <w:marBottom w:val="0"/>
      <w:divBdr>
        <w:top w:val="none" w:sz="0" w:space="0" w:color="auto"/>
        <w:left w:val="none" w:sz="0" w:space="0" w:color="auto"/>
        <w:bottom w:val="none" w:sz="0" w:space="0" w:color="auto"/>
        <w:right w:val="none" w:sz="0" w:space="0" w:color="auto"/>
      </w:divBdr>
    </w:div>
    <w:div w:id="670568210">
      <w:bodyDiv w:val="1"/>
      <w:marLeft w:val="0"/>
      <w:marRight w:val="0"/>
      <w:marTop w:val="0"/>
      <w:marBottom w:val="0"/>
      <w:divBdr>
        <w:top w:val="none" w:sz="0" w:space="0" w:color="auto"/>
        <w:left w:val="none" w:sz="0" w:space="0" w:color="auto"/>
        <w:bottom w:val="none" w:sz="0" w:space="0" w:color="auto"/>
        <w:right w:val="none" w:sz="0" w:space="0" w:color="auto"/>
      </w:divBdr>
    </w:div>
    <w:div w:id="1062561289">
      <w:bodyDiv w:val="1"/>
      <w:marLeft w:val="225"/>
      <w:marRight w:val="225"/>
      <w:marTop w:val="0"/>
      <w:marBottom w:val="0"/>
      <w:divBdr>
        <w:top w:val="none" w:sz="0" w:space="0" w:color="auto"/>
        <w:left w:val="none" w:sz="0" w:space="0" w:color="auto"/>
        <w:bottom w:val="none" w:sz="0" w:space="0" w:color="auto"/>
        <w:right w:val="none" w:sz="0" w:space="0" w:color="auto"/>
      </w:divBdr>
    </w:div>
    <w:div w:id="1113599706">
      <w:bodyDiv w:val="1"/>
      <w:marLeft w:val="0"/>
      <w:marRight w:val="0"/>
      <w:marTop w:val="0"/>
      <w:marBottom w:val="0"/>
      <w:divBdr>
        <w:top w:val="none" w:sz="0" w:space="0" w:color="auto"/>
        <w:left w:val="none" w:sz="0" w:space="0" w:color="auto"/>
        <w:bottom w:val="none" w:sz="0" w:space="0" w:color="auto"/>
        <w:right w:val="none" w:sz="0" w:space="0" w:color="auto"/>
      </w:divBdr>
    </w:div>
    <w:div w:id="1273127125">
      <w:bodyDiv w:val="1"/>
      <w:marLeft w:val="0"/>
      <w:marRight w:val="0"/>
      <w:marTop w:val="0"/>
      <w:marBottom w:val="0"/>
      <w:divBdr>
        <w:top w:val="none" w:sz="0" w:space="0" w:color="auto"/>
        <w:left w:val="none" w:sz="0" w:space="0" w:color="auto"/>
        <w:bottom w:val="none" w:sz="0" w:space="0" w:color="auto"/>
        <w:right w:val="none" w:sz="0" w:space="0" w:color="auto"/>
      </w:divBdr>
    </w:div>
    <w:div w:id="1372997401">
      <w:bodyDiv w:val="1"/>
      <w:marLeft w:val="0"/>
      <w:marRight w:val="0"/>
      <w:marTop w:val="0"/>
      <w:marBottom w:val="0"/>
      <w:divBdr>
        <w:top w:val="none" w:sz="0" w:space="0" w:color="auto"/>
        <w:left w:val="none" w:sz="0" w:space="0" w:color="auto"/>
        <w:bottom w:val="none" w:sz="0" w:space="0" w:color="auto"/>
        <w:right w:val="none" w:sz="0" w:space="0" w:color="auto"/>
      </w:divBdr>
    </w:div>
    <w:div w:id="1844936131">
      <w:bodyDiv w:val="1"/>
      <w:marLeft w:val="225"/>
      <w:marRight w:val="225"/>
      <w:marTop w:val="0"/>
      <w:marBottom w:val="0"/>
      <w:divBdr>
        <w:top w:val="none" w:sz="0" w:space="0" w:color="auto"/>
        <w:left w:val="none" w:sz="0" w:space="0" w:color="auto"/>
        <w:bottom w:val="none" w:sz="0" w:space="0" w:color="auto"/>
        <w:right w:val="none" w:sz="0" w:space="0" w:color="auto"/>
      </w:divBdr>
      <w:divsChild>
        <w:div w:id="505171259">
          <w:marLeft w:val="0"/>
          <w:marRight w:val="0"/>
          <w:marTop w:val="0"/>
          <w:marBottom w:val="0"/>
          <w:divBdr>
            <w:top w:val="none" w:sz="0" w:space="0" w:color="auto"/>
            <w:left w:val="none" w:sz="0" w:space="0" w:color="auto"/>
            <w:bottom w:val="none" w:sz="0" w:space="0" w:color="auto"/>
            <w:right w:val="none" w:sz="0" w:space="0" w:color="auto"/>
          </w:divBdr>
        </w:div>
      </w:divsChild>
    </w:div>
    <w:div w:id="1943031390">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049DE90-B394-44A4-AFCA-28BCEDA5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3368</Words>
  <Characters>1920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Galioja nuo 2011-07-01</vt:lpstr>
      <vt:lpstr>Galioja nuo 2011-07-01</vt:lpstr>
    </vt:vector>
  </TitlesOfParts>
  <Company>Hewlett-Packard Company</Company>
  <LinksUpToDate>false</LinksUpToDate>
  <CharactersWithSpaces>5278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Galioja nuo 2011-07-01</dc:title>
  <dc:creator>Seimas</dc:creator>
  <cp:lastModifiedBy>Regina</cp:lastModifiedBy>
  <cp:revision>6</cp:revision>
  <cp:lastPrinted>2016-12-09T05:47:00Z</cp:lastPrinted>
  <dcterms:created xsi:type="dcterms:W3CDTF">2018-10-29T12:33:00Z</dcterms:created>
  <dcterms:modified xsi:type="dcterms:W3CDTF">2019-11-27T19:54:00Z</dcterms:modified>
</cp:coreProperties>
</file>